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Times New Roman" w:hAnsi="Times New Roman" w:eastAsia="方正黑体_GBK" w:cs="Times New Roman"/>
          <w:sz w:val="32"/>
          <w:szCs w:val="32"/>
        </w:rPr>
      </w:pPr>
    </w:p>
    <w:p>
      <w:pPr>
        <w:spacing w:line="560" w:lineRule="exact"/>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江苏省实施《古树名木保护条例》办法</w:t>
      </w:r>
    </w:p>
    <w:p>
      <w:pPr>
        <w:spacing w:line="560" w:lineRule="exact"/>
        <w:jc w:val="center"/>
        <w:rPr>
          <w:rFonts w:hint="eastAsia"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（草案）</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outlineLvl w:val="9"/>
        <w:rPr>
          <w:rFonts w:hint="eastAsia" w:ascii="Times New Roman" w:hAnsi="Times New Roman" w:eastAsia="方正小标宋_GBK" w:cs="方正小标宋_GBK"/>
          <w:b w:val="0"/>
          <w:bCs w:val="0"/>
          <w:sz w:val="48"/>
          <w:szCs w:val="48"/>
          <w:lang w:val="en-US" w:eastAsia="zh-CN"/>
        </w:rPr>
      </w:pPr>
      <w:r>
        <w:rPr>
          <w:rFonts w:hint="eastAsia" w:ascii="方正楷体_GBK" w:hAnsi="方正楷体_GBK" w:eastAsia="方正楷体_GBK" w:cs="方正楷体_GBK"/>
          <w:b w:val="0"/>
          <w:bCs w:val="0"/>
          <w:sz w:val="32"/>
          <w:szCs w:val="32"/>
          <w:lang w:val="en-US" w:eastAsia="zh-CN"/>
        </w:rPr>
        <w:t>（征求意见稿）</w:t>
      </w:r>
    </w:p>
    <w:p>
      <w:pPr>
        <w:spacing w:line="560" w:lineRule="exact"/>
        <w:jc w:val="center"/>
        <w:rPr>
          <w:rFonts w:hint="eastAsia" w:ascii="Times New Roman" w:hAnsi="Times New Roman" w:eastAsia="方正小标宋_GBK" w:cs="方正小标宋_GBK"/>
          <w:sz w:val="44"/>
          <w:szCs w:val="44"/>
        </w:rPr>
      </w:pPr>
    </w:p>
    <w:p>
      <w:pPr>
        <w:spacing w:line="360" w:lineRule="auto"/>
        <w:rPr>
          <w:rFonts w:ascii="Times New Roman" w:hAnsi="Times New Roman" w:eastAsia="方正小标宋简体"/>
          <w:bCs/>
          <w:sz w:val="32"/>
          <w:szCs w:val="32"/>
        </w:rPr>
      </w:pPr>
    </w:p>
    <w:p>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第一章  总则（7条）</w:t>
      </w:r>
    </w:p>
    <w:p>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第二章  保护（9条）</w:t>
      </w:r>
    </w:p>
    <w:p>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 xml:space="preserve">第三章  管理（14条） </w:t>
      </w:r>
    </w:p>
    <w:p>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第四章  保障（8条）</w:t>
      </w:r>
    </w:p>
    <w:p>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第五章  法律责任（2条）</w:t>
      </w:r>
    </w:p>
    <w:p>
      <w:pPr>
        <w:spacing w:line="520" w:lineRule="exact"/>
        <w:ind w:firstLine="640" w:firstLineChars="2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第六章  附则（1条）</w:t>
      </w:r>
    </w:p>
    <w:p>
      <w:pPr>
        <w:spacing w:line="520" w:lineRule="exact"/>
        <w:ind w:firstLine="1920" w:firstLineChars="600"/>
        <w:rPr>
          <w:rFonts w:ascii="方正楷体_GBK" w:hAnsi="方正楷体_GBK" w:eastAsia="方正楷体_GBK" w:cs="方正楷体_GBK"/>
          <w:bCs/>
          <w:sz w:val="32"/>
          <w:szCs w:val="32"/>
        </w:rPr>
      </w:pPr>
      <w:r>
        <w:rPr>
          <w:rFonts w:hint="eastAsia" w:ascii="方正楷体_GBK" w:hAnsi="方正楷体_GBK" w:eastAsia="方正楷体_GBK" w:cs="方正楷体_GBK"/>
          <w:bCs/>
          <w:sz w:val="32"/>
          <w:szCs w:val="32"/>
        </w:rPr>
        <w:t>共41条</w:t>
      </w:r>
    </w:p>
    <w:p>
      <w:pPr>
        <w:spacing w:line="520" w:lineRule="exact"/>
        <w:ind w:firstLine="480" w:firstLineChars="200"/>
        <w:rPr>
          <w:rFonts w:ascii="Times New Roman" w:hAnsi="Times New Roman" w:eastAsia="黑体" w:cs="Times New Roman"/>
          <w:kern w:val="0"/>
          <w:sz w:val="24"/>
        </w:rPr>
      </w:pPr>
    </w:p>
    <w:p>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第一章  总  则</w:t>
      </w:r>
    </w:p>
    <w:p>
      <w:pPr>
        <w:spacing w:line="560" w:lineRule="exact"/>
        <w:ind w:firstLine="480" w:firstLineChars="200"/>
        <w:rPr>
          <w:rFonts w:ascii="Times New Roman" w:hAnsi="Times New Roman" w:eastAsia="黑体" w:cs="Times New Roman"/>
          <w:kern w:val="0"/>
          <w:sz w:val="24"/>
        </w:rPr>
      </w:pP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第一条【目的依据】</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为了加强对古树名木的保护，推进生态文明建设，传承中华优秀传统文化，建设人与自然和谐共生的美丽江苏，根据国务院《古树名木保护条例》等有关法律、法规，结合本省实际，制定本办法。</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第二条【适用范围】</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本省行政区域内古树名木的保护管理，适用本办法。</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本办法所称古树，是指树龄在一百年以上的树木，不包括人工培育、以生产木材为主要目的的商品林中的树木。</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本办法所称名木，是指具有重要历史、文化、科学、景观价值或者具有重要纪念意义的树木。</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本办法所称古树群，是指一定区域内相对集中生长，古树个体数量、密度符合国家规定，形成特定生长环境的古树群体。</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第三条【</w:t>
      </w:r>
      <w:r>
        <w:rPr>
          <w:rFonts w:hint="eastAsia" w:ascii="Times New Roman" w:hAnsi="Times New Roman" w:eastAsia="方正黑体_GBK" w:cs="方正黑体_GBK"/>
          <w:bCs/>
          <w:sz w:val="32"/>
          <w:szCs w:val="32"/>
        </w:rPr>
        <w:t>基本</w:t>
      </w:r>
      <w:r>
        <w:rPr>
          <w:rFonts w:ascii="Times New Roman" w:hAnsi="Times New Roman" w:eastAsia="方正黑体_GBK" w:cs="方正黑体_GBK"/>
          <w:bCs/>
          <w:sz w:val="32"/>
          <w:szCs w:val="32"/>
        </w:rPr>
        <w:t>原则】</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古树名木保护管理工作坚持中国共产党的领导，坚持保护第一、科学管护、分级管理、合理利用的原则，构建政府主导、属地负责、部门协同、社会参与的工作机制。</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第四条【政府职责】</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县级以上地方人民政府应当加强对古树名木保护管理工作的组织领导，将古树名木保护管理工作纳入国民经济和社会发展规划，协调解决古树名木保护管理工作中的重大问题。</w:t>
      </w:r>
    </w:p>
    <w:p>
      <w:pPr>
        <w:adjustRightInd w:val="0"/>
        <w:snapToGrid w:val="0"/>
        <w:spacing w:line="560" w:lineRule="exact"/>
        <w:ind w:firstLine="640" w:firstLineChars="200"/>
        <w:rPr>
          <w:rFonts w:ascii="方正仿宋_GBK" w:hAnsi="Times New Roman" w:eastAsia="方正仿宋_GBK" w:cs="Times New Roman"/>
          <w:kern w:val="0"/>
          <w:sz w:val="32"/>
          <w:szCs w:val="32"/>
        </w:rPr>
      </w:pPr>
      <w:r>
        <w:rPr>
          <w:rFonts w:hint="eastAsia" w:ascii="方正仿宋_GBK" w:hAnsi="仿宋_GB2312" w:eastAsia="方正仿宋_GBK" w:cs="仿宋_GB2312"/>
          <w:kern w:val="0"/>
          <w:sz w:val="32"/>
          <w:szCs w:val="32"/>
        </w:rPr>
        <w:t>乡镇人民政府、街道办事处以及村民委员会、居民委员会应当协助做好古树名木保护管理相关工作。</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第五条【部门职责】</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省绿化委员会负责组织领导全省古树名木保护管理工作，建立健全协调工作机制。县级以上地方人民政府林业主管部门、城市绿化主管部门是古树名木主管部门（以下统称古树名木主管部门）。林业主管部门负责城区范围外古树名木的保护管理，城市绿化主管部门负责城区范围内古树名木的保护管理。</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民族宗教事务、公安、财政、自然资源、生态环境、住房城乡建设、交通运输、水利、农业农村、文化和旅游、城市管理、审计等有关部门，在各自的职责范围内负责古树名木保护管理相关工作。</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六</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科研推广、</w:t>
      </w:r>
      <w:r>
        <w:rPr>
          <w:rFonts w:ascii="Times New Roman" w:hAnsi="Times New Roman" w:eastAsia="方正黑体_GBK" w:cs="方正黑体_GBK"/>
          <w:bCs/>
          <w:sz w:val="32"/>
          <w:szCs w:val="32"/>
        </w:rPr>
        <w:t>宣传</w:t>
      </w:r>
      <w:r>
        <w:rPr>
          <w:rFonts w:hint="eastAsia" w:ascii="Times New Roman" w:hAnsi="Times New Roman" w:eastAsia="方正黑体_GBK" w:cs="方正黑体_GBK"/>
          <w:bCs/>
          <w:sz w:val="32"/>
          <w:szCs w:val="32"/>
        </w:rPr>
        <w:t>教育</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鼓励和支持古树名木保护的科学研究，推广应用先进技术，提高古树名木保护管理水平。</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县级以上地方人民政府及其有关部门应当采取多种形式，组织开展古树名木保护宣传教育，普及古树名木保护的法律法规和科学知识，传承古树名木文化，增强全社会的古树名木保护意识，营造保护古树名木的良好社会氛围。</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七</w:t>
      </w:r>
      <w:r>
        <w:rPr>
          <w:rFonts w:ascii="Times New Roman" w:hAnsi="Times New Roman" w:eastAsia="方正黑体_GBK" w:cs="方正黑体_GBK"/>
          <w:bCs/>
          <w:sz w:val="32"/>
          <w:szCs w:val="32"/>
        </w:rPr>
        <w:t>条【社会参与】</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鼓励单位、个人通过捐赠、认养、科普教育、志愿服务等多种形式参与古树名木保护活动。捐赠、认养古树名木的单位或者个人，可以在一定期限内标注、署名，按照有关规定折抵义务植树任务。</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鼓励单位、个人举报、制止损害古树名木及其生长环境的行为。</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对在古树名木保护管理工作中做出突出贡献的单位、个人，按照国家和省有关规定给予表彰和奖励。</w:t>
      </w:r>
    </w:p>
    <w:p>
      <w:pPr>
        <w:adjustRightInd w:val="0"/>
        <w:snapToGrid w:val="0"/>
        <w:spacing w:line="560" w:lineRule="exact"/>
        <w:ind w:firstLine="640" w:firstLineChars="200"/>
        <w:rPr>
          <w:rFonts w:ascii="Times New Roman" w:hAnsi="Times New Roman" w:eastAsia="黑体" w:cs="Times New Roman"/>
          <w:kern w:val="0"/>
          <w:sz w:val="32"/>
          <w:szCs w:val="32"/>
        </w:rPr>
      </w:pPr>
    </w:p>
    <w:p>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第二章 保  护</w:t>
      </w:r>
    </w:p>
    <w:p>
      <w:pPr>
        <w:spacing w:line="560" w:lineRule="exact"/>
        <w:jc w:val="center"/>
        <w:rPr>
          <w:rFonts w:ascii="Times New Roman" w:hAnsi="Times New Roman" w:eastAsia="方正黑体_GBK" w:cs="方正黑体_GBK"/>
          <w:bCs/>
          <w:sz w:val="32"/>
          <w:szCs w:val="32"/>
        </w:rPr>
      </w:pP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八</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分级保护、后备资源</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对古树按照下列标准实行分级保护：</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（一）树龄五百年以上的古树，实行一级保护；</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（二）树龄三百年以上不满五百年的古树，实行二级保护；</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（三）树龄一百年以上不满三百年的古树，实行三级保护。</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名木的认定按照国家有关规定执行。对名木均实行一级保护，不受树龄限制。</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对古树群实行整体保护，并按照涉及古树名木最高等级保护。</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树龄八十年以上不满一百年的树木，作为古树后备资源，由县（市、区）古树名木主管部门建立档案。</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九</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资源</w:t>
      </w:r>
      <w:r>
        <w:rPr>
          <w:rFonts w:ascii="Times New Roman" w:hAnsi="Times New Roman" w:eastAsia="方正黑体_GBK" w:cs="方正黑体_GBK"/>
          <w:bCs/>
          <w:sz w:val="32"/>
          <w:szCs w:val="32"/>
        </w:rPr>
        <w:t>普查】</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省古树名木主管部门应当根据全国绿化委员会的要求，每十年组织开展一次古树名木资源普查。普查间隔期内，古树名木主管部门每五年至少开展一次古树名木资源补充调查。</w:t>
      </w:r>
    </w:p>
    <w:p>
      <w:pPr>
        <w:adjustRightInd w:val="0"/>
        <w:snapToGrid w:val="0"/>
        <w:spacing w:line="560" w:lineRule="exact"/>
        <w:ind w:firstLine="640" w:firstLineChars="200"/>
        <w:rPr>
          <w:rFonts w:ascii="方正仿宋_GBK" w:hAnsi="Times New Roman" w:eastAsia="方正仿宋_GBK" w:cs="Times New Roman"/>
          <w:kern w:val="0"/>
          <w:sz w:val="32"/>
          <w:szCs w:val="32"/>
        </w:rPr>
      </w:pPr>
      <w:r>
        <w:rPr>
          <w:rFonts w:hint="eastAsia" w:ascii="方正仿宋_GBK" w:hAnsi="仿宋_GB2312" w:eastAsia="方正仿宋_GBK" w:cs="仿宋_GB2312"/>
          <w:kern w:val="0"/>
          <w:sz w:val="32"/>
          <w:szCs w:val="32"/>
        </w:rPr>
        <w:t>鼓励单位和个人提供古树名木资源信息，县（市、区）古树名木主管部门接到信息后，及时开展调查，必要时组织鉴定。古树名木主管部门应当公布接收信息的途径和方式。</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第十条【认定公布】</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古树名木主管部门应当按照有关规定认定古树名木，报本级人民政府批准后依法公布。古树名木的认定和公布实行动态管理。</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古树名木主管部门应当对下列情形及时开展认定工作：</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（一）在资源普查和补充调查中发现古树名木资源的；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（二）收到单位或者个人提供的古树名木资源信息，拟认定为古树名木的；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（三）实行三级保护古树达到实行二级保护古树的树龄标准、实行二级保护古树达到实行一级保护古树的树龄标准的；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（四）古树后备资源达到实行三级保护古树的树龄标准的；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（五）其他需要进行认定的。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拟认定为古树名木的，由认定古树名木的主管部门在树木所在的村（社区）或者单位范围内进行公示，公示期不少于七个工作日。</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 xml:space="preserve">第十一条【保护范围划定】 </w:t>
      </w:r>
      <w:r>
        <w:rPr>
          <w:rFonts w:hint="eastAsia" w:ascii="Times New Roman" w:hAnsi="Times New Roman" w:eastAsia="方正仿宋_GBK" w:cs="Times New Roman"/>
          <w:b/>
          <w:bCs/>
          <w:kern w:val="0"/>
          <w:sz w:val="32"/>
          <w:szCs w:val="32"/>
        </w:rPr>
        <w:t xml:space="preserve"> </w:t>
      </w:r>
      <w:r>
        <w:rPr>
          <w:rFonts w:hint="eastAsia" w:ascii="方正仿宋_GBK" w:hAnsi="仿宋_GB2312" w:eastAsia="方正仿宋_GBK" w:cs="仿宋_GB2312"/>
          <w:kern w:val="0"/>
          <w:sz w:val="32"/>
          <w:szCs w:val="32"/>
        </w:rPr>
        <w:t>县（市、区）人民政府应当按照国务院古树名木主管部门的规定，划定古树名木的保护范围，向社会公布。古树名木保护范围划定后，应当及时纳入国土空间规划实施监督信息系统。</w:t>
      </w:r>
    </w:p>
    <w:p>
      <w:pPr>
        <w:adjustRightInd w:val="0"/>
        <w:snapToGrid w:val="0"/>
        <w:spacing w:line="560" w:lineRule="exact"/>
        <w:ind w:firstLine="640" w:firstLineChars="200"/>
        <w:rPr>
          <w:rFonts w:ascii="仿宋_GB2312" w:hAnsi="仿宋_GB2312" w:eastAsia="仿宋_GB2312" w:cs="仿宋_GB2312"/>
          <w:kern w:val="0"/>
          <w:sz w:val="32"/>
          <w:szCs w:val="32"/>
        </w:rPr>
      </w:pPr>
      <w:r>
        <w:rPr>
          <w:rFonts w:ascii="Times New Roman" w:hAnsi="Times New Roman" w:eastAsia="方正黑体_GBK" w:cs="方正黑体_GBK"/>
          <w:bCs/>
          <w:sz w:val="32"/>
          <w:szCs w:val="32"/>
        </w:rPr>
        <w:t>第十</w:t>
      </w:r>
      <w:r>
        <w:rPr>
          <w:rFonts w:hint="eastAsia" w:ascii="Times New Roman" w:hAnsi="Times New Roman" w:eastAsia="方正黑体_GBK" w:cs="方正黑体_GBK"/>
          <w:bCs/>
          <w:sz w:val="32"/>
          <w:szCs w:val="32"/>
        </w:rPr>
        <w:t>二</w:t>
      </w:r>
      <w:r>
        <w:rPr>
          <w:rFonts w:ascii="Times New Roman" w:hAnsi="Times New Roman" w:eastAsia="方正黑体_GBK" w:cs="方正黑体_GBK"/>
          <w:bCs/>
          <w:sz w:val="32"/>
          <w:szCs w:val="32"/>
        </w:rPr>
        <w:t>条【档案</w:t>
      </w:r>
      <w:r>
        <w:rPr>
          <w:rFonts w:hint="eastAsia" w:ascii="Times New Roman" w:hAnsi="Times New Roman" w:eastAsia="方正黑体_GBK" w:cs="方正黑体_GBK"/>
          <w:bCs/>
          <w:sz w:val="32"/>
          <w:szCs w:val="32"/>
        </w:rPr>
        <w:t>管理</w:t>
      </w:r>
      <w:r>
        <w:rPr>
          <w:rFonts w:ascii="Times New Roman" w:hAnsi="Times New Roman" w:eastAsia="方正黑体_GBK" w:cs="方正黑体_GBK"/>
          <w:bCs/>
          <w:sz w:val="32"/>
          <w:szCs w:val="32"/>
        </w:rPr>
        <w:t>】</w:t>
      </w:r>
      <w:r>
        <w:rPr>
          <w:rFonts w:hint="eastAsia" w:ascii="Times New Roman" w:hAnsi="Times New Roman" w:eastAsia="黑体" w:cs="Times New Roman"/>
          <w:kern w:val="0"/>
          <w:sz w:val="32"/>
          <w:szCs w:val="32"/>
        </w:rPr>
        <w:t xml:space="preserve"> </w:t>
      </w:r>
      <w:r>
        <w:rPr>
          <w:rFonts w:ascii="Times New Roman" w:hAnsi="Times New Roman" w:eastAsia="黑体" w:cs="Times New Roman"/>
          <w:kern w:val="0"/>
          <w:sz w:val="32"/>
          <w:szCs w:val="32"/>
        </w:rPr>
        <w:t xml:space="preserve"> </w:t>
      </w:r>
      <w:r>
        <w:rPr>
          <w:rFonts w:hint="eastAsia" w:ascii="仿宋_GB2312" w:hAnsi="仿宋_GB2312" w:eastAsia="仿宋_GB2312" w:cs="仿宋_GB2312"/>
          <w:kern w:val="0"/>
          <w:sz w:val="32"/>
          <w:szCs w:val="32"/>
        </w:rPr>
        <w:t>县（市、区）</w:t>
      </w:r>
      <w:r>
        <w:rPr>
          <w:rFonts w:ascii="仿宋_GB2312" w:hAnsi="仿宋_GB2312" w:eastAsia="仿宋_GB2312" w:cs="仿宋_GB2312"/>
          <w:kern w:val="0"/>
          <w:sz w:val="32"/>
          <w:szCs w:val="32"/>
        </w:rPr>
        <w:t>古树名木主管部门应当按照一树一档</w:t>
      </w:r>
      <w:r>
        <w:rPr>
          <w:rFonts w:hint="eastAsia" w:ascii="仿宋_GB2312" w:hAnsi="仿宋_GB2312" w:eastAsia="仿宋_GB2312" w:cs="仿宋_GB2312"/>
          <w:kern w:val="0"/>
          <w:sz w:val="32"/>
          <w:szCs w:val="32"/>
        </w:rPr>
        <w:t>的</w:t>
      </w:r>
      <w:r>
        <w:rPr>
          <w:rFonts w:ascii="仿宋_GB2312" w:hAnsi="仿宋_GB2312" w:eastAsia="仿宋_GB2312" w:cs="仿宋_GB2312"/>
          <w:kern w:val="0"/>
          <w:sz w:val="32"/>
          <w:szCs w:val="32"/>
        </w:rPr>
        <w:t>要求，建立古树名木档案，</w:t>
      </w:r>
      <w:r>
        <w:rPr>
          <w:rFonts w:hint="eastAsia" w:ascii="仿宋_GB2312" w:hAnsi="仿宋_GB2312" w:eastAsia="仿宋_GB2312" w:cs="仿宋_GB2312"/>
          <w:kern w:val="0"/>
          <w:sz w:val="32"/>
          <w:szCs w:val="32"/>
        </w:rPr>
        <w:t>实行信息化管理并动态更新。</w:t>
      </w:r>
      <w:r>
        <w:rPr>
          <w:rFonts w:ascii="仿宋_GB2312" w:hAnsi="仿宋_GB2312" w:eastAsia="仿宋_GB2312" w:cs="仿宋_GB2312"/>
          <w:kern w:val="0"/>
          <w:sz w:val="32"/>
          <w:szCs w:val="32"/>
        </w:rPr>
        <w:t>档案包括</w:t>
      </w:r>
      <w:r>
        <w:rPr>
          <w:rFonts w:hint="eastAsia" w:ascii="仿宋_GB2312" w:hAnsi="仿宋_GB2312" w:eastAsia="仿宋_GB2312" w:cs="仿宋_GB2312"/>
          <w:kern w:val="0"/>
          <w:sz w:val="32"/>
          <w:szCs w:val="32"/>
        </w:rPr>
        <w:t>树木</w:t>
      </w:r>
      <w:r>
        <w:rPr>
          <w:rFonts w:ascii="仿宋_GB2312" w:hAnsi="仿宋_GB2312" w:eastAsia="仿宋_GB2312" w:cs="仿宋_GB2312"/>
          <w:kern w:val="0"/>
          <w:sz w:val="32"/>
          <w:szCs w:val="32"/>
        </w:rPr>
        <w:t>基本信息、</w:t>
      </w:r>
      <w:r>
        <w:rPr>
          <w:rFonts w:hint="eastAsia" w:ascii="仿宋_GB2312" w:hAnsi="仿宋_GB2312" w:eastAsia="仿宋_GB2312" w:cs="仿宋_GB2312"/>
          <w:kern w:val="0"/>
          <w:sz w:val="32"/>
          <w:szCs w:val="32"/>
        </w:rPr>
        <w:t>编号、位置、鉴定、</w:t>
      </w:r>
      <w:r>
        <w:rPr>
          <w:rFonts w:ascii="仿宋_GB2312" w:hAnsi="仿宋_GB2312" w:eastAsia="仿宋_GB2312" w:cs="仿宋_GB2312"/>
          <w:kern w:val="0"/>
          <w:sz w:val="32"/>
          <w:szCs w:val="32"/>
        </w:rPr>
        <w:t>认定</w:t>
      </w:r>
      <w:r>
        <w:rPr>
          <w:rFonts w:hint="eastAsia" w:ascii="仿宋_GB2312" w:hAnsi="仿宋_GB2312" w:eastAsia="仿宋_GB2312" w:cs="仿宋_GB2312"/>
          <w:kern w:val="0"/>
          <w:sz w:val="32"/>
          <w:szCs w:val="32"/>
        </w:rPr>
        <w:t>、批准</w:t>
      </w:r>
      <w:r>
        <w:rPr>
          <w:rFonts w:ascii="仿宋_GB2312" w:hAnsi="仿宋_GB2312" w:eastAsia="仿宋_GB2312" w:cs="仿宋_GB2312"/>
          <w:kern w:val="0"/>
          <w:sz w:val="32"/>
          <w:szCs w:val="32"/>
        </w:rPr>
        <w:t>、日常养护协议、</w:t>
      </w:r>
      <w:r>
        <w:rPr>
          <w:rFonts w:hint="eastAsia" w:ascii="仿宋_GB2312" w:hAnsi="仿宋_GB2312" w:eastAsia="仿宋_GB2312" w:cs="仿宋_GB2312"/>
          <w:kern w:val="0"/>
          <w:sz w:val="32"/>
          <w:szCs w:val="32"/>
        </w:rPr>
        <w:t>保护标志设立</w:t>
      </w:r>
      <w:r>
        <w:rPr>
          <w:rFonts w:ascii="仿宋_GB2312" w:hAnsi="仿宋_GB2312" w:eastAsia="仿宋_GB2312" w:cs="仿宋_GB2312"/>
          <w:kern w:val="0"/>
          <w:sz w:val="32"/>
          <w:szCs w:val="32"/>
        </w:rPr>
        <w:t>、管养记录、</w:t>
      </w:r>
      <w:r>
        <w:rPr>
          <w:rFonts w:hint="eastAsia" w:ascii="仿宋_GB2312" w:hAnsi="仿宋_GB2312" w:eastAsia="仿宋_GB2312" w:cs="仿宋_GB2312"/>
          <w:kern w:val="0"/>
          <w:sz w:val="32"/>
          <w:szCs w:val="32"/>
        </w:rPr>
        <w:t>保护范围</w:t>
      </w:r>
      <w:r>
        <w:rPr>
          <w:rFonts w:ascii="仿宋_GB2312" w:hAnsi="仿宋_GB2312" w:eastAsia="仿宋_GB2312" w:cs="仿宋_GB2312"/>
          <w:kern w:val="0"/>
          <w:sz w:val="32"/>
          <w:szCs w:val="32"/>
        </w:rPr>
        <w:t>、</w:t>
      </w:r>
      <w:r>
        <w:rPr>
          <w:rFonts w:hint="eastAsia" w:ascii="仿宋_GB2312" w:hAnsi="仿宋_GB2312" w:eastAsia="仿宋_GB2312" w:cs="仿宋_GB2312"/>
          <w:kern w:val="0"/>
          <w:sz w:val="32"/>
          <w:szCs w:val="32"/>
        </w:rPr>
        <w:t>生长环境、历史文化价值</w:t>
      </w:r>
      <w:r>
        <w:rPr>
          <w:rFonts w:ascii="仿宋_GB2312" w:hAnsi="仿宋_GB2312" w:eastAsia="仿宋_GB2312" w:cs="仿宋_GB2312"/>
          <w:kern w:val="0"/>
          <w:sz w:val="32"/>
          <w:szCs w:val="32"/>
        </w:rPr>
        <w:t>等图文资料</w:t>
      </w:r>
      <w:r>
        <w:rPr>
          <w:rFonts w:hint="eastAsia" w:ascii="仿宋_GB2312" w:hAnsi="仿宋_GB2312" w:eastAsia="仿宋_GB2312" w:cs="仿宋_GB2312"/>
          <w:kern w:val="0"/>
          <w:sz w:val="32"/>
          <w:szCs w:val="32"/>
        </w:rPr>
        <w:t>内容</w:t>
      </w:r>
      <w:r>
        <w:rPr>
          <w:rFonts w:ascii="仿宋_GB2312" w:hAnsi="仿宋_GB2312" w:eastAsia="仿宋_GB2312" w:cs="仿宋_GB2312"/>
          <w:kern w:val="0"/>
          <w:sz w:val="32"/>
          <w:szCs w:val="32"/>
        </w:rPr>
        <w:t>。</w:t>
      </w:r>
      <w:r>
        <w:rPr>
          <w:rFonts w:hint="eastAsia" w:ascii="仿宋_GB2312" w:hAnsi="仿宋_GB2312" w:eastAsia="仿宋_GB2312" w:cs="仿宋_GB2312"/>
          <w:kern w:val="0"/>
          <w:sz w:val="32"/>
          <w:szCs w:val="32"/>
        </w:rPr>
        <w:t>树木基本信息应当包括中文名、</w:t>
      </w:r>
      <w:r>
        <w:rPr>
          <w:rFonts w:ascii="仿宋_GB2312" w:hAnsi="仿宋_GB2312" w:eastAsia="仿宋_GB2312" w:cs="仿宋_GB2312"/>
          <w:kern w:val="0"/>
          <w:sz w:val="32"/>
          <w:szCs w:val="32"/>
        </w:rPr>
        <w:t>学名、</w:t>
      </w:r>
      <w:r>
        <w:rPr>
          <w:rFonts w:hint="eastAsia" w:ascii="仿宋_GB2312" w:hAnsi="仿宋_GB2312" w:eastAsia="仿宋_GB2312" w:cs="仿宋_GB2312"/>
          <w:kern w:val="0"/>
          <w:sz w:val="32"/>
          <w:szCs w:val="32"/>
        </w:rPr>
        <w:t>科属、树龄、规格、特征等。</w:t>
      </w:r>
    </w:p>
    <w:p>
      <w:pPr>
        <w:adjustRightInd w:val="0"/>
        <w:snapToGrid w:val="0"/>
        <w:spacing w:line="560" w:lineRule="exact"/>
        <w:ind w:firstLine="640" w:firstLineChars="200"/>
        <w:rPr>
          <w:rFonts w:ascii="仿宋_GB2312" w:hAnsi="仿宋_GB2312" w:eastAsia="仿宋_GB2312" w:cs="仿宋_GB2312"/>
          <w:kern w:val="0"/>
          <w:sz w:val="32"/>
          <w:szCs w:val="32"/>
        </w:rPr>
      </w:pPr>
      <w:r>
        <w:rPr>
          <w:rFonts w:ascii="仿宋_GB2312" w:hAnsi="仿宋_GB2312" w:eastAsia="仿宋_GB2312" w:cs="仿宋_GB2312"/>
          <w:kern w:val="0"/>
          <w:sz w:val="32"/>
          <w:szCs w:val="32"/>
        </w:rPr>
        <w:t>古树名木主管部门应当</w:t>
      </w:r>
      <w:r>
        <w:rPr>
          <w:rFonts w:hint="eastAsia" w:ascii="仿宋_GB2312" w:hAnsi="仿宋_GB2312" w:eastAsia="仿宋_GB2312" w:cs="仿宋_GB2312"/>
          <w:kern w:val="0"/>
          <w:sz w:val="32"/>
          <w:szCs w:val="32"/>
        </w:rPr>
        <w:t>根据古树名木档案信息建立古树名木名录并动态更新。</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第十</w:t>
      </w:r>
      <w:r>
        <w:rPr>
          <w:rFonts w:hint="eastAsia" w:ascii="Times New Roman" w:hAnsi="Times New Roman" w:eastAsia="方正黑体_GBK" w:cs="方正黑体_GBK"/>
          <w:bCs/>
          <w:sz w:val="32"/>
          <w:szCs w:val="32"/>
        </w:rPr>
        <w:t>三</w:t>
      </w:r>
      <w:r>
        <w:rPr>
          <w:rFonts w:ascii="Times New Roman" w:hAnsi="Times New Roman" w:eastAsia="方正黑体_GBK" w:cs="方正黑体_GBK"/>
          <w:bCs/>
          <w:sz w:val="32"/>
          <w:szCs w:val="32"/>
        </w:rPr>
        <w:t>条【保护标志】</w:t>
      </w:r>
      <w:r>
        <w:rPr>
          <w:rFonts w:ascii="Times New Roman" w:hAnsi="Times New Roman" w:eastAsia="黑体" w:cs="Times New Roman"/>
          <w:kern w:val="0"/>
          <w:sz w:val="32"/>
          <w:szCs w:val="32"/>
        </w:rPr>
        <w:t xml:space="preserve"> </w:t>
      </w:r>
      <w:r>
        <w:rPr>
          <w:rFonts w:hint="eastAsia" w:ascii="方正仿宋_GBK" w:hAnsi="Times New Roman" w:eastAsia="方正仿宋_GBK" w:cs="Times New Roman"/>
          <w:kern w:val="0"/>
          <w:sz w:val="32"/>
          <w:szCs w:val="32"/>
        </w:rPr>
        <w:t xml:space="preserve"> </w:t>
      </w:r>
      <w:r>
        <w:rPr>
          <w:rFonts w:hint="eastAsia" w:ascii="方正仿宋_GBK" w:hAnsi="仿宋_GB2312" w:eastAsia="方正仿宋_GBK" w:cs="仿宋_GB2312"/>
          <w:kern w:val="0"/>
          <w:sz w:val="32"/>
          <w:szCs w:val="32"/>
        </w:rPr>
        <w:t>设区的市古树名木主管部门应当按照有关规范和要求，对古树名木设立保护标志。具有重要历史价值和纪念意义的古树名木，可以设置说明牌。</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保护标志应当简洁清晰，内容包括类别、中文名、学名、科属、树龄、保护级别、编号、设立时间、设立单位等信息，并设置电子信息码。</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古树群的保护标志应当标明群内古树的数量、主要树种组成、树龄结构、面积、边界范围图、编号、设立时间、设立单位等信息，并设置电子信息码。</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县（市、区）古树名木主管部门根据实际需要设置防护栏、避雷针、支撑架等保护设施，根据古树名木实际情况设立安全警示标志。</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第十四条【利用要求】</w:t>
      </w:r>
      <w:r>
        <w:rPr>
          <w:rFonts w:ascii="Times New Roman" w:hAnsi="Times New Roman" w:eastAsia="仿宋_GB2312" w:cs="Times New Roman"/>
          <w:color w:val="000000"/>
          <w:kern w:val="0"/>
          <w:sz w:val="32"/>
          <w:szCs w:val="32"/>
        </w:rPr>
        <w:t xml:space="preserve"> </w:t>
      </w:r>
      <w:r>
        <w:rPr>
          <w:rFonts w:hint="eastAsia" w:ascii="Times New Roman" w:hAnsi="Times New Roman" w:eastAsia="仿宋_GB2312" w:cs="Times New Roman"/>
          <w:color w:val="000000"/>
          <w:kern w:val="0"/>
          <w:sz w:val="32"/>
          <w:szCs w:val="32"/>
        </w:rPr>
        <w:t xml:space="preserve"> </w:t>
      </w:r>
      <w:r>
        <w:rPr>
          <w:rFonts w:hint="eastAsia" w:ascii="方正仿宋_GBK" w:hAnsi="仿宋_GB2312" w:eastAsia="方正仿宋_GBK" w:cs="仿宋_GB2312"/>
          <w:kern w:val="0"/>
          <w:sz w:val="32"/>
          <w:szCs w:val="32"/>
        </w:rPr>
        <w:t>在不损害古树名木及其生长环境的前提下，古树名木资源可以合理利用。</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有关单位和个人在利用古树名木资源时，应当严格遵守古树名木保护的规定，确保古树名木及其生长环境的安全，且不得破坏与其相关的历史风貌。</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十五</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种质资源利用</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鼓励、支持合理利用古树名木资源开展保护技术、遗传育种、生物学等科学研究，推广应用科研成果。</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省林业主管部门可以根据保护濒危、稀有、珍贵古树名木的需要，将古树名木种质资源纳入省级林木种质资源库。</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第十六条【建设公园、保护小区】</w:t>
      </w:r>
      <w:r>
        <w:rPr>
          <w:rFonts w:hint="eastAsia" w:ascii="Times New Roman" w:hAnsi="Times New Roman" w:eastAsia="黑体" w:cs="Times New Roman"/>
          <w:kern w:val="0"/>
          <w:sz w:val="32"/>
          <w:szCs w:val="32"/>
        </w:rPr>
        <w:t xml:space="preserve"> </w:t>
      </w:r>
      <w:r>
        <w:rPr>
          <w:rFonts w:hint="eastAsia" w:ascii="Times New Roman" w:hAnsi="Times New Roman" w:eastAsia="仿宋_GB2312" w:cs="Times New Roman"/>
          <w:b/>
          <w:bCs/>
          <w:kern w:val="0"/>
          <w:sz w:val="32"/>
          <w:szCs w:val="32"/>
        </w:rPr>
        <w:t xml:space="preserve"> </w:t>
      </w:r>
      <w:r>
        <w:rPr>
          <w:rFonts w:hint="eastAsia" w:ascii="方正仿宋_GBK" w:hAnsi="仿宋_GB2312" w:eastAsia="方正仿宋_GBK" w:cs="仿宋_GB2312"/>
          <w:kern w:val="0"/>
          <w:sz w:val="32"/>
          <w:szCs w:val="32"/>
        </w:rPr>
        <w:t>鼓励结合古镇古村落、古民居保护以及城市更新，挖掘提炼古树名木自然生态和历史人文价值，建设古树名木公园、保护小区，开展自然、历史科普宣教活动，促进古树名木资源与生态旅游融合发展。</w:t>
      </w:r>
    </w:p>
    <w:p>
      <w:pPr>
        <w:pStyle w:val="11"/>
        <w:widowControl/>
        <w:spacing w:line="560" w:lineRule="exact"/>
        <w:ind w:firstLine="640" w:firstLineChars="200"/>
        <w:rPr>
          <w:rFonts w:ascii="Times New Roman" w:hAnsi="Times New Roman" w:eastAsia="方正黑体_GBK" w:cs="Times New Roman"/>
          <w:bCs/>
          <w:kern w:val="0"/>
          <w:sz w:val="32"/>
          <w:szCs w:val="32"/>
        </w:rPr>
      </w:pPr>
    </w:p>
    <w:p>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第三章  管  理</w:t>
      </w:r>
    </w:p>
    <w:p>
      <w:pPr>
        <w:adjustRightInd w:val="0"/>
        <w:snapToGrid w:val="0"/>
        <w:spacing w:line="560" w:lineRule="exact"/>
        <w:rPr>
          <w:rFonts w:ascii="Times New Roman" w:hAnsi="Times New Roman" w:eastAsia="方正仿宋_GBK" w:cs="Times New Roman"/>
          <w:b/>
          <w:bCs/>
          <w:sz w:val="32"/>
          <w:szCs w:val="32"/>
        </w:rPr>
      </w:pP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第十</w:t>
      </w:r>
      <w:r>
        <w:rPr>
          <w:rFonts w:hint="eastAsia" w:ascii="Times New Roman" w:hAnsi="Times New Roman" w:eastAsia="方正黑体_GBK" w:cs="方正黑体_GBK"/>
          <w:bCs/>
          <w:sz w:val="32"/>
          <w:szCs w:val="32"/>
        </w:rPr>
        <w:t>七</w:t>
      </w:r>
      <w:r>
        <w:rPr>
          <w:rFonts w:ascii="Times New Roman" w:hAnsi="Times New Roman" w:eastAsia="方正黑体_GBK" w:cs="方正黑体_GBK"/>
          <w:bCs/>
          <w:sz w:val="32"/>
          <w:szCs w:val="32"/>
        </w:rPr>
        <w:t>条</w:t>
      </w:r>
      <w:bookmarkStart w:id="0" w:name="tiao_15_kuan_3"/>
      <w:bookmarkEnd w:id="0"/>
      <w:r>
        <w:rPr>
          <w:rFonts w:ascii="Times New Roman" w:hAnsi="Times New Roman" w:eastAsia="方正黑体_GBK" w:cs="方正黑体_GBK"/>
          <w:bCs/>
          <w:sz w:val="32"/>
          <w:szCs w:val="32"/>
        </w:rPr>
        <w:t>【养护要求】</w:t>
      </w:r>
      <w:r>
        <w:rPr>
          <w:rFonts w:ascii="Times New Roman" w:hAnsi="Times New Roman" w:eastAsia="黑体" w:cs="Times New Roman"/>
          <w:kern w:val="0"/>
          <w:sz w:val="32"/>
          <w:szCs w:val="32"/>
        </w:rPr>
        <w:t xml:space="preserve"> </w:t>
      </w:r>
      <w:r>
        <w:rPr>
          <w:rFonts w:ascii="Times New Roman" w:hAnsi="Times New Roman" w:eastAsia="仿宋_GB2312" w:cs="Times New Roman"/>
          <w:bCs/>
          <w:color w:val="000000" w:themeColor="text1"/>
          <w:sz w:val="32"/>
          <w:szCs w:val="32"/>
          <w14:textFill>
            <w14:solidFill>
              <w14:schemeClr w14:val="tx1"/>
            </w14:solidFill>
          </w14:textFill>
        </w:rPr>
        <w:t xml:space="preserve"> </w:t>
      </w:r>
      <w:r>
        <w:rPr>
          <w:rFonts w:hint="eastAsia" w:ascii="方正仿宋_GBK" w:hAnsi="仿宋_GB2312" w:eastAsia="方正仿宋_GBK" w:cs="仿宋_GB2312"/>
          <w:kern w:val="0"/>
          <w:sz w:val="32"/>
          <w:szCs w:val="32"/>
        </w:rPr>
        <w:t>古树名木养护措施应当科学合理，避免不当养护。养护包括日常看护、水肥管理、土壤改良、有害生物防治、树冠整理、地上环境整治以及对生长衰弱、濒危、遭受损害、生长异常的古树名木实施救治、复壮等。</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第十</w:t>
      </w:r>
      <w:r>
        <w:rPr>
          <w:rFonts w:hint="eastAsia" w:ascii="Times New Roman" w:hAnsi="Times New Roman" w:eastAsia="方正黑体_GBK" w:cs="方正黑体_GBK"/>
          <w:bCs/>
          <w:sz w:val="32"/>
          <w:szCs w:val="32"/>
        </w:rPr>
        <w:t>八</w:t>
      </w:r>
      <w:r>
        <w:rPr>
          <w:rFonts w:ascii="Times New Roman" w:hAnsi="Times New Roman" w:eastAsia="方正黑体_GBK" w:cs="方正黑体_GBK"/>
          <w:bCs/>
          <w:sz w:val="32"/>
          <w:szCs w:val="32"/>
        </w:rPr>
        <w:t>条【养护责任人确定】</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县（市、区）古树名木主管部门应当按照有利于古树名木日常养护的原则，根据以下规定确定古树名木的日常养护责任人：</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（一）自然保护地、林场、公园、广场、道路绿地及机场、铁路、公路、江河堤坝、水库湖渠等用地范围内的古树名木，其管理单位为日常养护责任人；</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（二）机关、部队、团体、企业事业单位和文物保护单位、宗教活动场所等用地范围内的古树名木，该单位为日常养护责任人；</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（三）居住区范围内的古树名木，所有权人或者其委托管理古树名木的单位、个人为日常养护责任人；</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乡镇公共设施用地范围内的古树名木，乡镇人民政府为日常养护责任人；农村承包的林地上的古树名木，承包方为日常养护责任人；农村宅基地上的古树名木，宅基地使用权人为日常养护责任人；农村其他土地上的古树名木，村民委员会或者村民小组为日常养护责任人；</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（五）在征收、收储后尚未出让、划拨土地上的古树名木，土地征收、收储单位为日常养护责任人；已出让、划拨但尚未完成建设土地上的古树名木，土地使用权人为日常养护责任人；</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（六）个人所有的古树名木，所有权人或者其委托管理古树名木的单位、个人为日常养护责任人；</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（七）无管理单位或者权属不清的古树名木，由古树名木所在地县（市、区）古树名木主管部门会同乡镇人民政府、街道办事处协调确定日常养护责任人，养护费用由本级人民政府财政予以保障。</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日常养护责任人履行养护职责的，可以按照有关规定折抵义务植树任务。</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十九</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【养护责任】</w:t>
      </w:r>
      <w:r>
        <w:rPr>
          <w:rFonts w:hint="eastAsia" w:ascii="黑体" w:hAnsi="黑体" w:eastAsia="黑体" w:cs="黑体"/>
          <w:kern w:val="0"/>
          <w:sz w:val="32"/>
          <w:szCs w:val="32"/>
        </w:rPr>
        <w:t xml:space="preserve">  </w:t>
      </w:r>
      <w:r>
        <w:rPr>
          <w:rFonts w:hint="eastAsia" w:ascii="方正仿宋_GBK" w:hAnsi="仿宋_GB2312" w:eastAsia="方正仿宋_GBK" w:cs="仿宋_GB2312"/>
          <w:kern w:val="0"/>
          <w:sz w:val="32"/>
          <w:szCs w:val="32"/>
        </w:rPr>
        <w:t>日常养护责任人应当严格履行养护义务，做好日常养护工作，发现损害古树名木及其生长环境的行为应当及时予以制止。</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古树名木出现下列情形之一的，日常养护责任人应当及时报告县（市、区）古树名木主管部门。</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（一）枯死枝、梢需要修剪的；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（二）树体及大枝出现倾倒、劈裂或者折断风险的；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（三）长势衰退或者遭受损伤的；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（四）发生有害生物危害的；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（五）生长环境被破坏的；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（六）其他生长异常的。</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二</w:t>
      </w:r>
      <w:r>
        <w:rPr>
          <w:rFonts w:ascii="Times New Roman" w:hAnsi="Times New Roman" w:eastAsia="方正黑体_GBK" w:cs="方正黑体_GBK"/>
          <w:bCs/>
          <w:sz w:val="32"/>
          <w:szCs w:val="32"/>
        </w:rPr>
        <w:t>十条【养护协议】</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县（市、区）古树名木主管部门应当与日常养护责任人签订日常养护协议，根据古树名木权属情况、保护等级、养护状况、养护费用等，明确双方权利义务。</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日常养护责任人发生变更的，应当及时告知县（市、区）古树名木主管部门，并重新签订养护协议。</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二十一</w:t>
      </w:r>
      <w:r>
        <w:rPr>
          <w:rFonts w:ascii="Times New Roman" w:hAnsi="Times New Roman" w:eastAsia="方正黑体_GBK" w:cs="方正黑体_GBK"/>
          <w:bCs/>
          <w:sz w:val="32"/>
          <w:szCs w:val="32"/>
        </w:rPr>
        <w:t>条【日常巡查】</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应当建立古树名木分级保护巡查制度。县（市、区）古树名木主管部门应当对实行一级保护的古树名木每半年至少巡查一次，实行二级、三级保护的古树每年至少巡查一次。古树群应当按照最高保护级别开展巡查。巡查发现异常情况的，应当及时采取相应措施，并报告相应主管部门。</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设区的市古树名木主管部门应当对生长势衰弱、濒危的实行二级以上保护的古树名木开展重点巡查。</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省古树名木主管部门应当对生长势衰弱、濒危的实行一级保护的古树名木开展重点巡查。</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古树名木主管部门可以根据实际情况增加巡查频次。</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古树名木主管部门可以利用大数据、卫星遥感、智慧监测、无人机等技术手段开展动态监控管理。</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二十二</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健康评估】</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古树名木主管部门可以委托专业团队定期开展古树名木健康评估，及时发现问题。</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对古树名木出现生长异常或者遭受损害等情形的，县（市、区）古树名木主管部门应当提出保护方案，必要时采取救治、复壮等措施。</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第二十三条【特殊情况保护】</w:t>
      </w:r>
      <w:r>
        <w:rPr>
          <w:rFonts w:hint="eastAsia" w:ascii="Times New Roman" w:hAnsi="Times New Roman" w:eastAsia="仿宋_GB2312" w:cs="Times New Roman"/>
          <w:kern w:val="0"/>
          <w:sz w:val="32"/>
          <w:szCs w:val="32"/>
        </w:rPr>
        <w:t xml:space="preserve">  </w:t>
      </w:r>
      <w:r>
        <w:rPr>
          <w:rFonts w:hint="eastAsia" w:ascii="方正仿宋_GBK" w:hAnsi="仿宋_GB2312" w:eastAsia="方正仿宋_GBK" w:cs="仿宋_GB2312"/>
          <w:kern w:val="0"/>
          <w:sz w:val="32"/>
          <w:szCs w:val="32"/>
        </w:rPr>
        <w:t>县（市、区）古树名木主管部门和日常养护责任人应当密切关注灾害性天气预警，及时采取相应的防范措施，并做好灾后处置。</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举办重大活动可能影响古树名木生长的，活动承办方应当对古树名木进行安全评估，并制定相应的保护措施。</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第二十四条【禁止采伐】</w:t>
      </w:r>
      <w:r>
        <w:rPr>
          <w:rFonts w:hint="eastAsia" w:ascii="Times New Roman" w:hAnsi="Times New Roman" w:eastAsia="仿宋_GB2312" w:cs="Times New Roman"/>
          <w:b/>
          <w:bCs/>
          <w:kern w:val="0"/>
          <w:sz w:val="32"/>
          <w:szCs w:val="32"/>
        </w:rPr>
        <w:t xml:space="preserve">  </w:t>
      </w:r>
      <w:r>
        <w:rPr>
          <w:rFonts w:hint="eastAsia" w:ascii="方正仿宋_GBK" w:hAnsi="仿宋_GB2312" w:eastAsia="方正仿宋_GBK" w:cs="仿宋_GB2312"/>
          <w:kern w:val="0"/>
          <w:sz w:val="32"/>
          <w:szCs w:val="32"/>
        </w:rPr>
        <w:t>禁止采伐古树名木。</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因重大植物疫情防控、抢险救灾等特殊紧急情形，依法采取应急处置措施采伐或者处置古树名木的，按相关规定执行。</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第二十五条【限制移植】</w:t>
      </w:r>
      <w:r>
        <w:rPr>
          <w:rFonts w:hint="eastAsia" w:ascii="Times New Roman" w:hAnsi="Times New Roman" w:eastAsia="黑体" w:cs="Times New Roman"/>
          <w:kern w:val="0"/>
          <w:sz w:val="32"/>
          <w:szCs w:val="32"/>
        </w:rPr>
        <w:t xml:space="preserve"> </w:t>
      </w:r>
      <w:r>
        <w:rPr>
          <w:rFonts w:hint="eastAsia" w:ascii="Times New Roman" w:hAnsi="Times New Roman" w:eastAsia="仿宋_GB2312" w:cs="Times New Roman"/>
          <w:kern w:val="0"/>
          <w:sz w:val="32"/>
          <w:szCs w:val="32"/>
        </w:rPr>
        <w:t xml:space="preserve"> </w:t>
      </w:r>
      <w:r>
        <w:rPr>
          <w:rFonts w:hint="eastAsia" w:ascii="方正仿宋_GBK" w:hAnsi="仿宋_GB2312" w:eastAsia="方正仿宋_GBK" w:cs="仿宋_GB2312"/>
          <w:kern w:val="0"/>
          <w:sz w:val="32"/>
          <w:szCs w:val="32"/>
        </w:rPr>
        <w:t>古树名木原则上实行原地保护，不得移植。符合法律、行政法规规定确实需要移植的情形除外。</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古树名木主管部门应当组织专家对移植的必要性和移植养护方案的可行性进行论证，论证通过的按相关规定办理移植手续。</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第二十六条【移植要求】</w:t>
      </w:r>
      <w:r>
        <w:rPr>
          <w:rFonts w:hint="eastAsia" w:ascii="Times New Roman" w:hAnsi="Times New Roman" w:eastAsia="仿宋_GB2312" w:cs="Times New Roman"/>
          <w:b/>
          <w:bCs/>
          <w:kern w:val="0"/>
          <w:sz w:val="32"/>
          <w:szCs w:val="32"/>
        </w:rPr>
        <w:t xml:space="preserve">  </w:t>
      </w:r>
      <w:r>
        <w:rPr>
          <w:rFonts w:hint="eastAsia" w:ascii="方正仿宋_GBK" w:hAnsi="仿宋_GB2312" w:eastAsia="方正仿宋_GBK" w:cs="仿宋_GB2312"/>
          <w:kern w:val="0"/>
          <w:sz w:val="32"/>
          <w:szCs w:val="32"/>
        </w:rPr>
        <w:t>移植古树名木应当按照有利于后续管理和保护的原则选择移植地，就近实施。</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古树名木主管部门应当组织专家对移植进行技术指导，加强移植后的检查监督。</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第二十七条【古树名木退出】</w:t>
      </w:r>
      <w:r>
        <w:rPr>
          <w:rFonts w:hint="eastAsia" w:ascii="Times New Roman" w:hAnsi="Times New Roman" w:eastAsia="黑体" w:cs="Times New Roman"/>
          <w:kern w:val="0"/>
          <w:sz w:val="32"/>
          <w:szCs w:val="32"/>
        </w:rPr>
        <w:t xml:space="preserve"> </w:t>
      </w:r>
      <w:r>
        <w:rPr>
          <w:rFonts w:hint="eastAsia" w:ascii="Times New Roman" w:hAnsi="Times New Roman" w:cs="Times New Roman"/>
          <w:sz w:val="32"/>
          <w:szCs w:val="32"/>
        </w:rPr>
        <w:t xml:space="preserve"> </w:t>
      </w:r>
      <w:r>
        <w:rPr>
          <w:rFonts w:hint="eastAsia" w:ascii="方正仿宋_GBK" w:hAnsi="仿宋_GB2312" w:eastAsia="方正仿宋_GBK" w:cs="仿宋_GB2312"/>
          <w:kern w:val="0"/>
          <w:sz w:val="32"/>
          <w:szCs w:val="32"/>
        </w:rPr>
        <w:t>任何单位和个人不得擅自处理疑似死亡或者死亡的古树名木。</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疑似死亡、灭失、不符合标准的，由认定该古树名木的主管部门组织确认；确认死亡、灭失、不符合标准的，应当查明原因并提出处置意见报本级人民政府，按照规定进行注销并公布，原编号予以保留。死亡的古树名木具有原地保留价值的予以保留，并根据实际情况采取必要保护措施。</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第二十</w:t>
      </w:r>
      <w:r>
        <w:rPr>
          <w:rFonts w:hint="eastAsia" w:ascii="Times New Roman" w:hAnsi="Times New Roman" w:eastAsia="方正黑体_GBK" w:cs="方正黑体_GBK"/>
          <w:bCs/>
          <w:sz w:val="32"/>
          <w:szCs w:val="32"/>
        </w:rPr>
        <w:t>八</w:t>
      </w:r>
      <w:r>
        <w:rPr>
          <w:rFonts w:ascii="Times New Roman" w:hAnsi="Times New Roman" w:eastAsia="方正黑体_GBK" w:cs="方正黑体_GBK"/>
          <w:bCs/>
          <w:sz w:val="32"/>
          <w:szCs w:val="32"/>
        </w:rPr>
        <w:t>条【建设项目</w:t>
      </w:r>
      <w:r>
        <w:rPr>
          <w:rFonts w:hint="eastAsia" w:ascii="Times New Roman" w:hAnsi="Times New Roman" w:eastAsia="方正黑体_GBK" w:cs="方正黑体_GBK"/>
          <w:bCs/>
          <w:sz w:val="32"/>
          <w:szCs w:val="32"/>
        </w:rPr>
        <w:t>管理</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建设项目选址、建设应当避开古树名木保护范围；因特殊情况不能避开，应当在设计阶段报告古树名木主管部门，并按照要求采取必要的工程措施，尽可能减轻对古树名木及其生长环境的损害。</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建设项目涉及古树名木的，其环境影响报告应当包含对古树名木的影响评价。</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新建、扩建的建筑物、构筑物，其风格、形态、高度、色彩等风貌要素，应当与古树名木承载的历史文化价值以及周边环境风貌相协调。</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开发利用地下空间的建设项目，不得影响古树</w:t>
      </w:r>
      <w:bookmarkStart w:id="1" w:name="_GoBack"/>
      <w:bookmarkEnd w:id="1"/>
      <w:r>
        <w:rPr>
          <w:rFonts w:hint="eastAsia" w:ascii="方正仿宋_GBK" w:hAnsi="仿宋_GB2312" w:eastAsia="方正仿宋_GBK" w:cs="仿宋_GB2312"/>
          <w:kern w:val="0"/>
          <w:sz w:val="32"/>
          <w:szCs w:val="32"/>
        </w:rPr>
        <w:t>名木正常生长。因实施市政、交通等基础设施确需在古树名木保护范围地下空间进行开发利用的，应当经古树名木主管部门论证。</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二十九</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【保护范围内已有的清理】</w:t>
      </w:r>
      <w:r>
        <w:rPr>
          <w:rFonts w:hint="eastAsia" w:ascii="黑体" w:hAnsi="黑体" w:eastAsia="黑体" w:cs="黑体"/>
          <w:kern w:val="0"/>
          <w:sz w:val="32"/>
          <w:szCs w:val="32"/>
        </w:rPr>
        <w:t xml:space="preserve">  </w:t>
      </w:r>
      <w:r>
        <w:rPr>
          <w:rFonts w:hint="eastAsia" w:ascii="方正仿宋_GBK" w:hAnsi="仿宋_GB2312" w:eastAsia="方正仿宋_GBK" w:cs="仿宋_GB2312"/>
          <w:kern w:val="0"/>
          <w:sz w:val="32"/>
          <w:szCs w:val="32"/>
        </w:rPr>
        <w:t>古树名木保护范围内已有的建筑物、构筑物、管线、硬化地面、堆放重物等影响古树名木正常生长的，县（市、区）人民政府应当有计划地组织治理，及时修复古树名木的生长环境。</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黑体" w:cs="Times New Roman"/>
          <w:kern w:val="0"/>
          <w:sz w:val="32"/>
          <w:szCs w:val="32"/>
        </w:rPr>
        <w:t>第</w:t>
      </w:r>
      <w:r>
        <w:rPr>
          <w:rFonts w:hint="eastAsia" w:ascii="Times New Roman" w:hAnsi="Times New Roman" w:eastAsia="黑体" w:cs="Times New Roman"/>
          <w:kern w:val="0"/>
          <w:sz w:val="32"/>
          <w:szCs w:val="32"/>
        </w:rPr>
        <w:t>三十</w:t>
      </w:r>
      <w:r>
        <w:rPr>
          <w:rFonts w:ascii="Times New Roman" w:hAnsi="Times New Roman" w:eastAsia="黑体" w:cs="Times New Roman"/>
          <w:kern w:val="0"/>
          <w:sz w:val="32"/>
          <w:szCs w:val="32"/>
        </w:rPr>
        <w:t xml:space="preserve">条【禁止行为】  </w:t>
      </w:r>
      <w:r>
        <w:rPr>
          <w:rFonts w:hint="eastAsia" w:ascii="方正仿宋_GBK" w:hAnsi="仿宋_GB2312" w:eastAsia="方正仿宋_GBK" w:cs="仿宋_GB2312"/>
          <w:kern w:val="0"/>
          <w:sz w:val="32"/>
          <w:szCs w:val="32"/>
        </w:rPr>
        <w:t>任何单位、个人不得实施下列损害古树名木及其生长环境的行为：</w:t>
      </w:r>
      <w:r>
        <w:fldChar w:fldCharType="begin"/>
      </w:r>
      <w:r>
        <w:instrText xml:space="preserve"> HYPERLINK "javascript:void(0);" </w:instrText>
      </w:r>
      <w:r>
        <w:fldChar w:fldCharType="separate"/>
      </w:r>
      <w:r>
        <w:fldChar w:fldCharType="end"/>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（一）买卖、运输、加工非法采伐、移植的古树名木；</w:t>
      </w:r>
      <w:r>
        <w:fldChar w:fldCharType="begin"/>
      </w:r>
      <w:r>
        <w:instrText xml:space="preserve"> HYPERLINK "javascript:void(0);" </w:instrText>
      </w:r>
      <w:r>
        <w:fldChar w:fldCharType="separate"/>
      </w:r>
      <w:r>
        <w:fldChar w:fldCharType="end"/>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（二）挖根、剥损树皮、过度修剪枝干；</w:t>
      </w:r>
      <w:r>
        <w:fldChar w:fldCharType="begin"/>
      </w:r>
      <w:r>
        <w:instrText xml:space="preserve"> HYPERLINK "javascript:void(0);" </w:instrText>
      </w:r>
      <w:r>
        <w:fldChar w:fldCharType="separate"/>
      </w:r>
      <w:r>
        <w:fldChar w:fldCharType="end"/>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（三）向古树名木灌注有毒有害物质；</w:t>
      </w:r>
      <w:r>
        <w:fldChar w:fldCharType="begin"/>
      </w:r>
      <w:r>
        <w:instrText xml:space="preserve"> HYPERLINK "javascript:void(0);" </w:instrText>
      </w:r>
      <w:r>
        <w:fldChar w:fldCharType="separate"/>
      </w:r>
      <w:r>
        <w:fldChar w:fldCharType="end"/>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（四）在古树名木保护范围内铺设非通透性硬化地面、使用明火、堆放重物、倾倒易燃易爆物品或者有毒有害物质；</w:t>
      </w:r>
      <w:r>
        <w:fldChar w:fldCharType="begin"/>
      </w:r>
      <w:r>
        <w:instrText xml:space="preserve"> HYPERLINK "javascript:void(0);" </w:instrText>
      </w:r>
      <w:r>
        <w:fldChar w:fldCharType="separate"/>
      </w:r>
      <w:r>
        <w:fldChar w:fldCharType="end"/>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（五）在古树名木上刻划、架设线缆、缠绕或者悬挂物体等，攀爬古树名木；</w:t>
      </w:r>
      <w:r>
        <w:fldChar w:fldCharType="begin"/>
      </w:r>
      <w:r>
        <w:instrText xml:space="preserve"> HYPERLINK "javascript:void(0);" </w:instrText>
      </w:r>
      <w:r>
        <w:fldChar w:fldCharType="separate"/>
      </w:r>
      <w:r>
        <w:fldChar w:fldCharType="end"/>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（六）破坏古树名木保护设施、保护标志；</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（七）其他损害古树名木及其生长环境的行为。</w:t>
      </w:r>
    </w:p>
    <w:p>
      <w:pPr>
        <w:adjustRightInd w:val="0"/>
        <w:snapToGrid w:val="0"/>
        <w:spacing w:line="560" w:lineRule="exact"/>
        <w:ind w:firstLine="640" w:firstLineChars="200"/>
        <w:rPr>
          <w:rFonts w:ascii="方正仿宋_GBK" w:hAnsi="Times New Roman" w:eastAsia="方正仿宋_GBK" w:cs="Times New Roman"/>
          <w:kern w:val="0"/>
          <w:sz w:val="32"/>
          <w:szCs w:val="32"/>
        </w:rPr>
      </w:pPr>
    </w:p>
    <w:p>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第四章  保  障</w:t>
      </w:r>
    </w:p>
    <w:p>
      <w:pPr>
        <w:adjustRightInd w:val="0"/>
        <w:snapToGrid w:val="0"/>
        <w:spacing w:line="560" w:lineRule="exact"/>
        <w:ind w:firstLine="640" w:firstLineChars="200"/>
        <w:rPr>
          <w:rFonts w:ascii="Times New Roman" w:hAnsi="Times New Roman" w:eastAsia="方正黑体_GBK" w:cs="Times New Roman"/>
          <w:bCs/>
          <w:kern w:val="0"/>
          <w:sz w:val="32"/>
          <w:szCs w:val="32"/>
        </w:rPr>
      </w:pP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第三十一条【资金保障】</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县级以上人民政府应当将开展普查、补充调查、鉴定、保护设施建设、养护、健康评估、抢救复壮、培训教育等古树名木保护管理工作所需经费，按照财政事权和支出责任划分原则列入本级预算。</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支持保险机构开展古树名木保险业务，鼓励县级以上人民政府为古树名木保险提供保费。</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积极探索建立古树名木保护补偿机制，提高古树名木保护管理水平。</w:t>
      </w:r>
    </w:p>
    <w:p>
      <w:pPr>
        <w:pStyle w:val="11"/>
        <w:widowControl/>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 xml:space="preserve">第三十二条【损害补偿】 </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因生态保护等公共利益需要，造成古树名木相关权利人合法权益受到损害的，县级以上地方人民政府应当依法给予补偿；涉及属于集体所有、私人所有的古树名木的，县级以上地方人民政府可以采取措施合理照顾有关单位、个人的利益。</w:t>
      </w:r>
    </w:p>
    <w:p>
      <w:pPr>
        <w:pStyle w:val="11"/>
        <w:widowControl/>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第三十三条【专家库】</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古树名木主管部门根据需要可以建立古树名木保护专家库，为古树名木的鉴定认定、移植管理、抢救复壮以及古树名木利用等提供决策咨询。</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第三十四条【专业培训】</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古树名木主管部门应当加强古树名木保护专业技术人才培养，组织开展日常养护责任人的培训教育，提高管护水平，增强管护责任意识。</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第三十五条【强制措施】</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古树名木主管部门依照法律、行政法规，按照职责分工对古树名木保护管理等活动进行监督检查，有权采取下列措施：</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（一）询问被检查单位、个人，要求其对与监督检查事项有关的情况作出说明；</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（二）进行现场检查；</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（三）查阅、复制有关文件、资料，对可能被转移、销毁、隐匿或者篡改的文件、资料予以封存；</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（四）查封、扣押涉嫌违法活动的场所、设施或者财物。</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古树名木主管部门依法进行监督检查，有关单位、个人应当予以配合，不得拒绝、阻碍。</w:t>
      </w:r>
    </w:p>
    <w:p>
      <w:pPr>
        <w:kinsoku w:val="0"/>
        <w:autoSpaceDE w:val="0"/>
        <w:autoSpaceDN w:val="0"/>
        <w:adjustRightInd w:val="0"/>
        <w:snapToGrid w:val="0"/>
        <w:spacing w:line="560" w:lineRule="exact"/>
        <w:ind w:firstLine="640" w:firstLineChars="200"/>
        <w:textAlignment w:val="baseline"/>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第三十六条【协同执法】</w:t>
      </w:r>
      <w:r>
        <w:rPr>
          <w:rFonts w:hint="eastAsia" w:ascii="方正黑体_GBK" w:hAnsi="方正黑体_GBK" w:eastAsia="方正黑体_GBK" w:cs="方正黑体_GBK"/>
          <w:sz w:val="32"/>
          <w:szCs w:val="32"/>
        </w:rPr>
        <w:t xml:space="preserve">  </w:t>
      </w:r>
      <w:r>
        <w:rPr>
          <w:rFonts w:hint="eastAsia" w:ascii="方正仿宋_GBK" w:hAnsi="仿宋_GB2312" w:eastAsia="方正仿宋_GBK" w:cs="仿宋_GB2312"/>
          <w:kern w:val="0"/>
          <w:sz w:val="32"/>
          <w:szCs w:val="32"/>
        </w:rPr>
        <w:t>县级以上地方人民政府应当建立古树名木执法协作机制，推动数据共享和业务协同，根据古树名木保护工作需要，组织林业、城市绿化、民族宗教事务、公安、自然资源、生态环境、住房城乡建设、农业农村、文化和旅游、城市管理等有关部门开展古树名木保护联合执法。</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Times New Roman" w:hAnsi="Times New Roman" w:eastAsia="方正黑体_GBK" w:cs="方正黑体_GBK"/>
          <w:bCs/>
          <w:sz w:val="32"/>
          <w:szCs w:val="32"/>
        </w:rPr>
        <w:t>第三十七条【责任制、约谈制】</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县级以上地方人民政府应当建立古树名木保护目标责任制，将古树名木保护纳入本级人民政府综合绩效评价和林长制考核内容。</w:t>
      </w:r>
    </w:p>
    <w:p>
      <w:pPr>
        <w:adjustRightInd w:val="0"/>
        <w:snapToGrid w:val="0"/>
        <w:spacing w:line="560" w:lineRule="exact"/>
        <w:ind w:firstLine="640" w:firstLineChars="200"/>
        <w:rPr>
          <w:rFonts w:ascii="方正仿宋_GBK" w:hAnsi="仿宋_GB2312" w:eastAsia="方正仿宋_GBK" w:cs="仿宋_GB2312"/>
          <w:kern w:val="0"/>
          <w:sz w:val="32"/>
          <w:szCs w:val="32"/>
        </w:rPr>
      </w:pPr>
      <w:r>
        <w:rPr>
          <w:rFonts w:hint="eastAsia" w:ascii="方正仿宋_GBK" w:hAnsi="仿宋_GB2312" w:eastAsia="方正仿宋_GBK" w:cs="仿宋_GB2312"/>
          <w:kern w:val="0"/>
          <w:sz w:val="32"/>
          <w:szCs w:val="32"/>
        </w:rPr>
        <w:t>对古树名木保护不力、问题突出的，省古树名木主管部门可以约谈有关单位主要负责人，要求其采取措施及时整改。</w:t>
      </w:r>
    </w:p>
    <w:p>
      <w:pPr>
        <w:pStyle w:val="11"/>
        <w:widowControl/>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三十八</w:t>
      </w:r>
      <w:r>
        <w:rPr>
          <w:rFonts w:ascii="Times New Roman" w:hAnsi="Times New Roman" w:eastAsia="方正黑体_GBK" w:cs="方正黑体_GBK"/>
          <w:bCs/>
          <w:sz w:val="32"/>
          <w:szCs w:val="32"/>
        </w:rPr>
        <w:t>条【离任审计】</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古树名木保护管理情况，按规定纳入领导干部自然资源资产离任审计。</w:t>
      </w:r>
    </w:p>
    <w:p>
      <w:pPr>
        <w:adjustRightInd w:val="0"/>
        <w:snapToGrid w:val="0"/>
        <w:spacing w:line="560" w:lineRule="exact"/>
        <w:ind w:firstLine="640" w:firstLineChars="200"/>
        <w:rPr>
          <w:rFonts w:ascii="Times New Roman" w:hAnsi="Times New Roman" w:eastAsia="仿宋_GB2312" w:cs="Times New Roman"/>
          <w:kern w:val="0"/>
          <w:sz w:val="32"/>
          <w:szCs w:val="32"/>
        </w:rPr>
      </w:pPr>
    </w:p>
    <w:p>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第五章  法律责任</w:t>
      </w:r>
    </w:p>
    <w:p>
      <w:pPr>
        <w:adjustRightInd w:val="0"/>
        <w:snapToGrid w:val="0"/>
        <w:spacing w:line="560" w:lineRule="exact"/>
        <w:ind w:firstLine="640" w:firstLineChars="200"/>
        <w:rPr>
          <w:rFonts w:ascii="Times New Roman" w:hAnsi="Times New Roman" w:eastAsia="方正黑体_GBK" w:cs="Times New Roman"/>
          <w:bCs/>
          <w:kern w:val="0"/>
          <w:sz w:val="32"/>
          <w:szCs w:val="32"/>
        </w:rPr>
      </w:pPr>
    </w:p>
    <w:p>
      <w:pPr>
        <w:pStyle w:val="11"/>
        <w:widowControl/>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三十九</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指引</w:t>
      </w:r>
      <w:r>
        <w:rPr>
          <w:rFonts w:ascii="Times New Roman" w:hAnsi="Times New Roman" w:eastAsia="方正黑体_GBK" w:cs="方正黑体_GBK"/>
          <w:bCs/>
          <w:sz w:val="32"/>
          <w:szCs w:val="32"/>
        </w:rPr>
        <w:t>条款】</w:t>
      </w:r>
      <w:r>
        <w:rPr>
          <w:rFonts w:ascii="Times New Roman" w:hAnsi="Times New Roman" w:eastAsia="黑体" w:cs="Times New Roman"/>
          <w:kern w:val="0"/>
          <w:sz w:val="32"/>
          <w:szCs w:val="32"/>
        </w:rPr>
        <w:t xml:space="preserve"> </w:t>
      </w:r>
      <w:r>
        <w:rPr>
          <w:rFonts w:hint="eastAsia" w:ascii="方正仿宋_GBK" w:hAnsi="Times New Roman" w:eastAsia="方正仿宋_GBK" w:cs="Times New Roman"/>
          <w:kern w:val="0"/>
          <w:sz w:val="32"/>
          <w:szCs w:val="32"/>
        </w:rPr>
        <w:t xml:space="preserve"> </w:t>
      </w:r>
      <w:r>
        <w:rPr>
          <w:rFonts w:hint="eastAsia" w:ascii="方正仿宋_GBK" w:hAnsi="仿宋_GB2312" w:eastAsia="方正仿宋_GBK" w:cs="仿宋_GB2312"/>
          <w:kern w:val="0"/>
          <w:sz w:val="32"/>
          <w:szCs w:val="32"/>
        </w:rPr>
        <w:t>对违反本办法规定的行为，法律、法规已有处罚规定的，从其规定。</w:t>
      </w:r>
    </w:p>
    <w:p>
      <w:pPr>
        <w:pStyle w:val="11"/>
        <w:widowControl/>
        <w:adjustRightInd w:val="0"/>
        <w:snapToGrid w:val="0"/>
        <w:spacing w:line="560" w:lineRule="exact"/>
        <w:ind w:firstLine="640" w:firstLineChars="200"/>
        <w:rPr>
          <w:rFonts w:ascii="方正仿宋_GBK" w:hAnsi="仿宋_GB2312" w:eastAsia="方正仿宋_GBK"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四十</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履职不当法律责任</w:t>
      </w:r>
      <w:r>
        <w:rPr>
          <w:rFonts w:ascii="Times New Roman" w:hAnsi="Times New Roman" w:eastAsia="方正黑体_GBK" w:cs="方正黑体_GBK"/>
          <w:bCs/>
          <w:sz w:val="32"/>
          <w:szCs w:val="32"/>
        </w:rPr>
        <w:t>】</w:t>
      </w:r>
      <w:r>
        <w:rPr>
          <w:rFonts w:hint="eastAsia"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地方各级人民政府及其古树名木主管部门、其他有关部门的工作人员在古树名木保护管理工作中滥用职权、玩忽职守、徇私舞弊的，对直接负责的主管人员和其他直接责任人员依法给予处分；构成犯罪的，依法追究刑事责任。</w:t>
      </w:r>
    </w:p>
    <w:p>
      <w:pPr>
        <w:spacing w:line="560" w:lineRule="exact"/>
        <w:jc w:val="center"/>
        <w:rPr>
          <w:rFonts w:ascii="Times New Roman" w:hAnsi="Times New Roman" w:eastAsia="方正黑体_GBK" w:cs="方正黑体_GBK"/>
          <w:bCs/>
          <w:sz w:val="32"/>
          <w:szCs w:val="32"/>
        </w:rPr>
      </w:pPr>
    </w:p>
    <w:p>
      <w:pPr>
        <w:spacing w:line="560" w:lineRule="exact"/>
        <w:jc w:val="center"/>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第六章  附  则</w:t>
      </w:r>
    </w:p>
    <w:p>
      <w:pPr>
        <w:spacing w:line="560" w:lineRule="exact"/>
        <w:jc w:val="center"/>
        <w:rPr>
          <w:rFonts w:ascii="Times New Roman" w:hAnsi="Times New Roman" w:eastAsia="方正黑体_GBK" w:cs="方正黑体_GBK"/>
          <w:bCs/>
          <w:sz w:val="32"/>
          <w:szCs w:val="32"/>
        </w:rPr>
      </w:pPr>
    </w:p>
    <w:p>
      <w:pPr>
        <w:adjustRightInd w:val="0"/>
        <w:snapToGrid w:val="0"/>
        <w:spacing w:line="560" w:lineRule="exact"/>
        <w:ind w:left="479" w:leftChars="228"/>
        <w:rPr>
          <w:rFonts w:ascii="仿宋_GB2312" w:hAnsi="仿宋_GB2312" w:eastAsia="仿宋_GB2312" w:cs="仿宋_GB2312"/>
          <w:kern w:val="0"/>
          <w:sz w:val="32"/>
          <w:szCs w:val="32"/>
        </w:rPr>
      </w:pPr>
      <w:r>
        <w:rPr>
          <w:rFonts w:ascii="Times New Roman" w:hAnsi="Times New Roman" w:eastAsia="方正黑体_GBK" w:cs="方正黑体_GBK"/>
          <w:bCs/>
          <w:sz w:val="32"/>
          <w:szCs w:val="32"/>
        </w:rPr>
        <w:t>第</w:t>
      </w:r>
      <w:r>
        <w:rPr>
          <w:rFonts w:hint="eastAsia" w:ascii="Times New Roman" w:hAnsi="Times New Roman" w:eastAsia="方正黑体_GBK" w:cs="方正黑体_GBK"/>
          <w:bCs/>
          <w:sz w:val="32"/>
          <w:szCs w:val="32"/>
        </w:rPr>
        <w:t>四十一</w:t>
      </w:r>
      <w:r>
        <w:rPr>
          <w:rFonts w:ascii="Times New Roman" w:hAnsi="Times New Roman" w:eastAsia="方正黑体_GBK" w:cs="方正黑体_GBK"/>
          <w:bCs/>
          <w:sz w:val="32"/>
          <w:szCs w:val="32"/>
        </w:rPr>
        <w:t>条【</w:t>
      </w:r>
      <w:r>
        <w:rPr>
          <w:rFonts w:hint="eastAsia" w:ascii="Times New Roman" w:hAnsi="Times New Roman" w:eastAsia="方正黑体_GBK" w:cs="方正黑体_GBK"/>
          <w:bCs/>
          <w:sz w:val="32"/>
          <w:szCs w:val="32"/>
        </w:rPr>
        <w:t>通用条款</w:t>
      </w:r>
      <w:r>
        <w:rPr>
          <w:rFonts w:ascii="Times New Roman" w:hAnsi="Times New Roman" w:eastAsia="方正黑体_GBK" w:cs="方正黑体_GBK"/>
          <w:bCs/>
          <w:sz w:val="32"/>
          <w:szCs w:val="32"/>
        </w:rPr>
        <w:t>】</w:t>
      </w:r>
      <w:r>
        <w:rPr>
          <w:rFonts w:ascii="Times New Roman" w:hAnsi="Times New Roman" w:eastAsia="黑体" w:cs="Times New Roman"/>
          <w:kern w:val="0"/>
          <w:sz w:val="32"/>
          <w:szCs w:val="32"/>
        </w:rPr>
        <w:t xml:space="preserve">  </w:t>
      </w:r>
      <w:r>
        <w:rPr>
          <w:rFonts w:hint="eastAsia" w:ascii="方正仿宋_GBK" w:hAnsi="仿宋_GB2312" w:eastAsia="方正仿宋_GBK" w:cs="仿宋_GB2312"/>
          <w:kern w:val="0"/>
          <w:sz w:val="32"/>
          <w:szCs w:val="32"/>
        </w:rPr>
        <w:t>本办法自  年 月 日起施行。</w:t>
      </w:r>
    </w:p>
    <w:p>
      <w:pPr>
        <w:adjustRightInd w:val="0"/>
        <w:snapToGrid w:val="0"/>
        <w:spacing w:line="560" w:lineRule="exact"/>
        <w:ind w:firstLine="640" w:firstLineChars="200"/>
        <w:rPr>
          <w:rFonts w:ascii="Times New Roman" w:hAnsi="Times New Roman" w:eastAsia="仿宋_GB2312" w:cs="Times New Roman"/>
          <w:kern w:val="0"/>
          <w:sz w:val="32"/>
          <w:szCs w:val="32"/>
        </w:rPr>
      </w:pPr>
    </w:p>
    <w:p>
      <w:pPr>
        <w:adjustRightInd w:val="0"/>
        <w:snapToGrid w:val="0"/>
        <w:spacing w:line="560" w:lineRule="exact"/>
        <w:ind w:firstLine="640" w:firstLineChars="200"/>
        <w:rPr>
          <w:rFonts w:ascii="Times New Roman" w:hAnsi="Times New Roman" w:eastAsia="仿宋_GB2312" w:cs="Times New Roman"/>
          <w:kern w:val="0"/>
          <w:sz w:val="32"/>
          <w:szCs w:val="32"/>
        </w:rPr>
      </w:pPr>
    </w:p>
    <w:p>
      <w:pPr>
        <w:adjustRightInd w:val="0"/>
        <w:snapToGrid w:val="0"/>
        <w:spacing w:line="560" w:lineRule="exact"/>
        <w:ind w:firstLine="640" w:firstLineChars="200"/>
        <w:rPr>
          <w:rFonts w:ascii="Times New Roman" w:hAnsi="Times New Roman" w:eastAsia="仿宋_GB2312" w:cs="Times New Roman"/>
          <w:kern w:val="0"/>
          <w:sz w:val="32"/>
          <w:szCs w:val="32"/>
        </w:rPr>
      </w:pPr>
    </w:p>
    <w:p>
      <w:pPr>
        <w:spacing w:line="560" w:lineRule="exact"/>
        <w:rPr>
          <w:rFonts w:ascii="Times New Roman" w:hAnsi="Times New Roman" w:eastAsia="仿宋_GB2312" w:cs="Times New Roman"/>
          <w:kern w:val="0"/>
          <w:sz w:val="32"/>
          <w:szCs w:val="32"/>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7AEC545-A4D8-4119-AD3F-283F6B98ACC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embedRegular r:id="rId2" w:fontKey="{240057F6-ECE2-497D-B957-5BE310B0E4B4}"/>
  </w:font>
  <w:font w:name="方正小标宋_GBK">
    <w:panose1 w:val="03000509000000000000"/>
    <w:charset w:val="86"/>
    <w:family w:val="script"/>
    <w:pitch w:val="default"/>
    <w:sig w:usb0="00000001" w:usb1="080E0000" w:usb2="00000000" w:usb3="00000000" w:csb0="00040000" w:csb1="00000000"/>
    <w:embedRegular r:id="rId3" w:fontKey="{A69624A7-E8CB-4147-BF1E-643369FF8C02}"/>
  </w:font>
  <w:font w:name="方正小标宋简体">
    <w:panose1 w:val="03000509000000000000"/>
    <w:charset w:val="86"/>
    <w:family w:val="auto"/>
    <w:pitch w:val="default"/>
    <w:sig w:usb0="00000001" w:usb1="080E0000" w:usb2="00000000" w:usb3="00000000" w:csb0="00040000" w:csb1="00000000"/>
    <w:embedRegular r:id="rId4" w:fontKey="{131738F1-4640-47C7-9C7E-7D38DC61926D}"/>
  </w:font>
  <w:font w:name="方正楷体_GBK">
    <w:panose1 w:val="03000509000000000000"/>
    <w:charset w:val="86"/>
    <w:family w:val="script"/>
    <w:pitch w:val="default"/>
    <w:sig w:usb0="00000001" w:usb1="080E0000" w:usb2="00000000" w:usb3="00000000" w:csb0="00040000" w:csb1="00000000"/>
    <w:embedRegular r:id="rId5" w:fontKey="{25247F11-C4E4-406A-94F5-08B208F35B8B}"/>
  </w:font>
  <w:font w:name="方正仿宋_GBK">
    <w:panose1 w:val="03000509000000000000"/>
    <w:charset w:val="86"/>
    <w:family w:val="script"/>
    <w:pitch w:val="default"/>
    <w:sig w:usb0="00000001" w:usb1="080E0000" w:usb2="00000000" w:usb3="00000000" w:csb0="00040000" w:csb1="00000000"/>
    <w:embedRegular r:id="rId6" w:fontKey="{C78C4B69-928D-4C83-940E-6397FCCF008B}"/>
  </w:font>
  <w:font w:name="仿宋_GB2312">
    <w:panose1 w:val="02010609030101010101"/>
    <w:charset w:val="86"/>
    <w:family w:val="auto"/>
    <w:pitch w:val="default"/>
    <w:sig w:usb0="00000001" w:usb1="080E0000" w:usb2="00000000" w:usb3="00000000" w:csb0="00040000" w:csb1="00000000"/>
    <w:embedRegular r:id="rId7" w:fontKey="{6F1CB9E4-E5C3-4D60-8F63-B8DA78F16A6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- 1 -</w:t>
                          </w:r>
                          <w:r>
                            <w:rPr>
                              <w:rFonts w:hint="eastAsia" w:asciiTheme="minorEastAsia" w:hAnsi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p>
                    <w:pPr>
                      <w:pStyle w:val="3"/>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- 1 -</w:t>
                    </w:r>
                    <w:r>
                      <w:rPr>
                        <w:rFonts w:hint="eastAsia" w:asciiTheme="minorEastAsia" w:hAnsi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826BCC"/>
    <w:rsid w:val="00112240"/>
    <w:rsid w:val="001442E9"/>
    <w:rsid w:val="003652D8"/>
    <w:rsid w:val="005C49B3"/>
    <w:rsid w:val="00636FFD"/>
    <w:rsid w:val="00744825"/>
    <w:rsid w:val="008125E3"/>
    <w:rsid w:val="009B1078"/>
    <w:rsid w:val="00A96C75"/>
    <w:rsid w:val="00E7690E"/>
    <w:rsid w:val="00EC673B"/>
    <w:rsid w:val="01E523FA"/>
    <w:rsid w:val="02005B8D"/>
    <w:rsid w:val="0275634E"/>
    <w:rsid w:val="03AB2895"/>
    <w:rsid w:val="04575F38"/>
    <w:rsid w:val="051060E7"/>
    <w:rsid w:val="06DE03EB"/>
    <w:rsid w:val="076F3599"/>
    <w:rsid w:val="082751D4"/>
    <w:rsid w:val="083F4318"/>
    <w:rsid w:val="0990469A"/>
    <w:rsid w:val="09E437FD"/>
    <w:rsid w:val="0A0115C9"/>
    <w:rsid w:val="0A2D780A"/>
    <w:rsid w:val="0C430C6B"/>
    <w:rsid w:val="0CC22958"/>
    <w:rsid w:val="0CFC330D"/>
    <w:rsid w:val="0F231E26"/>
    <w:rsid w:val="12666811"/>
    <w:rsid w:val="132F0080"/>
    <w:rsid w:val="13EC331A"/>
    <w:rsid w:val="150530C7"/>
    <w:rsid w:val="1546345F"/>
    <w:rsid w:val="16A83224"/>
    <w:rsid w:val="17C0399D"/>
    <w:rsid w:val="17E551B2"/>
    <w:rsid w:val="18EA6F23"/>
    <w:rsid w:val="19B6596F"/>
    <w:rsid w:val="1AF26175"/>
    <w:rsid w:val="1B542436"/>
    <w:rsid w:val="1B636B19"/>
    <w:rsid w:val="1C712644"/>
    <w:rsid w:val="1CAA1803"/>
    <w:rsid w:val="1CAE64BA"/>
    <w:rsid w:val="1DEE4E27"/>
    <w:rsid w:val="1EE00C14"/>
    <w:rsid w:val="1F592736"/>
    <w:rsid w:val="1F620FB1"/>
    <w:rsid w:val="1FB41C15"/>
    <w:rsid w:val="1FFE32B4"/>
    <w:rsid w:val="20120B0E"/>
    <w:rsid w:val="20C642E9"/>
    <w:rsid w:val="213E3174"/>
    <w:rsid w:val="22E067E3"/>
    <w:rsid w:val="24CC0ED1"/>
    <w:rsid w:val="25EE6204"/>
    <w:rsid w:val="28034902"/>
    <w:rsid w:val="280600C8"/>
    <w:rsid w:val="28AF7BB2"/>
    <w:rsid w:val="294B5300"/>
    <w:rsid w:val="2A084CC4"/>
    <w:rsid w:val="2A4E399F"/>
    <w:rsid w:val="2B4C52DF"/>
    <w:rsid w:val="2BE27F2E"/>
    <w:rsid w:val="2C8B4122"/>
    <w:rsid w:val="2C996ADD"/>
    <w:rsid w:val="2E006D67"/>
    <w:rsid w:val="2F4800A8"/>
    <w:rsid w:val="2F835624"/>
    <w:rsid w:val="2F947791"/>
    <w:rsid w:val="30AC2BAA"/>
    <w:rsid w:val="33D706FC"/>
    <w:rsid w:val="33EA5BD2"/>
    <w:rsid w:val="33F60E40"/>
    <w:rsid w:val="34E00D83"/>
    <w:rsid w:val="35E87EEF"/>
    <w:rsid w:val="363C648D"/>
    <w:rsid w:val="36453213"/>
    <w:rsid w:val="36902874"/>
    <w:rsid w:val="36DA728E"/>
    <w:rsid w:val="373830F8"/>
    <w:rsid w:val="3AAA60BB"/>
    <w:rsid w:val="3B0369D6"/>
    <w:rsid w:val="3C830972"/>
    <w:rsid w:val="3CB95FC0"/>
    <w:rsid w:val="3EEE50DC"/>
    <w:rsid w:val="41410DFB"/>
    <w:rsid w:val="414803DC"/>
    <w:rsid w:val="414D1610"/>
    <w:rsid w:val="42497F67"/>
    <w:rsid w:val="42A3084E"/>
    <w:rsid w:val="44F248E6"/>
    <w:rsid w:val="45371A95"/>
    <w:rsid w:val="459D5567"/>
    <w:rsid w:val="460C5E7C"/>
    <w:rsid w:val="465D0485"/>
    <w:rsid w:val="47097680"/>
    <w:rsid w:val="47BB54A9"/>
    <w:rsid w:val="48AB58D0"/>
    <w:rsid w:val="48CE11C6"/>
    <w:rsid w:val="48DD0D98"/>
    <w:rsid w:val="48E44E8E"/>
    <w:rsid w:val="48EB1D78"/>
    <w:rsid w:val="49040914"/>
    <w:rsid w:val="49381A62"/>
    <w:rsid w:val="4A196B3F"/>
    <w:rsid w:val="4A7A7858"/>
    <w:rsid w:val="4B4C4DD9"/>
    <w:rsid w:val="4BB23021"/>
    <w:rsid w:val="4BF058F8"/>
    <w:rsid w:val="4C485734"/>
    <w:rsid w:val="4C8D3147"/>
    <w:rsid w:val="4CBC3B05"/>
    <w:rsid w:val="4CFE0DAA"/>
    <w:rsid w:val="4D00229A"/>
    <w:rsid w:val="4DB34E2F"/>
    <w:rsid w:val="4DE5235D"/>
    <w:rsid w:val="4E826BCC"/>
    <w:rsid w:val="4F7B5F9B"/>
    <w:rsid w:val="4F9A5B59"/>
    <w:rsid w:val="5055041F"/>
    <w:rsid w:val="509A29D7"/>
    <w:rsid w:val="50E104DF"/>
    <w:rsid w:val="52943AA7"/>
    <w:rsid w:val="53CA4C80"/>
    <w:rsid w:val="550E1418"/>
    <w:rsid w:val="57B43C7D"/>
    <w:rsid w:val="57DE17F5"/>
    <w:rsid w:val="58AB628D"/>
    <w:rsid w:val="59F80E35"/>
    <w:rsid w:val="5AAF3758"/>
    <w:rsid w:val="5B3845B5"/>
    <w:rsid w:val="5B7E4CCE"/>
    <w:rsid w:val="5C0056E3"/>
    <w:rsid w:val="5D066D29"/>
    <w:rsid w:val="5DF008D6"/>
    <w:rsid w:val="5E7128C8"/>
    <w:rsid w:val="5F0822E4"/>
    <w:rsid w:val="609E54CA"/>
    <w:rsid w:val="61C86CA3"/>
    <w:rsid w:val="61C92810"/>
    <w:rsid w:val="622A34BA"/>
    <w:rsid w:val="62CF7BBD"/>
    <w:rsid w:val="63466D61"/>
    <w:rsid w:val="63B76FCF"/>
    <w:rsid w:val="64E76686"/>
    <w:rsid w:val="65C40725"/>
    <w:rsid w:val="66271AD6"/>
    <w:rsid w:val="669051F0"/>
    <w:rsid w:val="67803B7C"/>
    <w:rsid w:val="679023D4"/>
    <w:rsid w:val="67CD2FDA"/>
    <w:rsid w:val="6A042842"/>
    <w:rsid w:val="6B9B0F84"/>
    <w:rsid w:val="6C283C29"/>
    <w:rsid w:val="6D1C60F5"/>
    <w:rsid w:val="6D6E064D"/>
    <w:rsid w:val="6E6C7383"/>
    <w:rsid w:val="6F7E3097"/>
    <w:rsid w:val="6FB86C31"/>
    <w:rsid w:val="6FEA6B8A"/>
    <w:rsid w:val="71341C5F"/>
    <w:rsid w:val="73216213"/>
    <w:rsid w:val="73644352"/>
    <w:rsid w:val="74F82AFF"/>
    <w:rsid w:val="782A7918"/>
    <w:rsid w:val="7B1623D5"/>
    <w:rsid w:val="7B973A2E"/>
    <w:rsid w:val="7CAD0B17"/>
    <w:rsid w:val="7CD23280"/>
    <w:rsid w:val="7CF12FBF"/>
    <w:rsid w:val="7D1F683B"/>
    <w:rsid w:val="7DC53184"/>
    <w:rsid w:val="7E4A6EF9"/>
    <w:rsid w:val="7E642FBB"/>
    <w:rsid w:val="7E922A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annotation text"/>
    <w:basedOn w:val="1"/>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footnote text"/>
    <w:basedOn w:val="1"/>
    <w:qFormat/>
    <w:uiPriority w:val="0"/>
    <w:pPr>
      <w:snapToGrid w:val="0"/>
      <w:jc w:val="left"/>
    </w:pPr>
    <w:rPr>
      <w:sz w:val="18"/>
      <w:szCs w:val="18"/>
    </w:rPr>
  </w:style>
  <w:style w:type="paragraph" w:styleId="6">
    <w:name w:val="Normal (Web)"/>
    <w:basedOn w:val="1"/>
    <w:qFormat/>
    <w:uiPriority w:val="99"/>
    <w:pPr>
      <w:spacing w:beforeAutospacing="1"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paragraph" w:customStyle="1" w:styleId="11">
    <w:name w:val="div"/>
    <w:basedOn w:val="1"/>
    <w:qFormat/>
    <w:uiPriority w:val="0"/>
    <w:pPr>
      <w:textAlignment w:val="baseline"/>
    </w:pPr>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1016</Words>
  <Characters>5793</Characters>
  <Lines>48</Lines>
  <Paragraphs>13</Paragraphs>
  <TotalTime>18</TotalTime>
  <ScaleCrop>false</ScaleCrop>
  <LinksUpToDate>false</LinksUpToDate>
  <CharactersWithSpaces>6796</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2026-04-30T03:33:00Z</dcterms:created>
  <dc:creator>xukai</dc:creator>
  <cp:lastModifiedBy>Administrator</cp:lastModifiedBy>
  <cp:lastPrinted>2026-04-29T07:40:00Z</cp:lastPrinted>
  <dcterms:modified xsi:type="dcterms:W3CDTF">2026-05-11T07:58:48Z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y fmtid="{D5CDD505-2E9C-101B-9397-08002B2CF9AE}" pid="3" name="ICV">
    <vt:lpwstr>62EE20C9CB3A45F48060FF238170F001_13</vt:lpwstr>
  </property>
  <property fmtid="{D5CDD505-2E9C-101B-9397-08002B2CF9AE}" pid="4" name="KSOTemplateDocerSaveRecord">
    <vt:lpwstr>eyJoZGlkIjoiYWE1YjZhZGVlNmRlNmUxOTJmMWFlNTg3NTI0ZmQ5ZDQiLCJ1c2VySWQiOiI1NzIyNTEwNDkifQ==</vt:lpwstr>
  </property>
</Properties>
</file>