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60" w:lineRule="exact"/>
        <w:rPr>
          <w:rFonts w:hint="eastAsia" w:ascii="Times New Roman" w:hAnsi="Times New Roman" w:eastAsia="方正仿宋_GBK" w:cs="Times New Roman"/>
          <w:kern w:val="2"/>
          <w:sz w:val="32"/>
          <w:szCs w:val="32"/>
          <w:lang w:bidi="ar-SA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附件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bidi="ar-SA"/>
        </w:rPr>
        <w:t>3</w:t>
      </w:r>
    </w:p>
    <w:p>
      <w:pPr>
        <w:spacing w:before="312" w:beforeLines="100" w:line="480" w:lineRule="exact"/>
        <w:jc w:val="center"/>
        <w:rPr>
          <w:rFonts w:hint="eastAsia" w:ascii="Times New Roman" w:hAnsi="Times New Roman" w:eastAsia="方正小标宋_GBK" w:cs="Times New Roman"/>
          <w:kern w:val="2"/>
          <w:sz w:val="44"/>
          <w:szCs w:val="44"/>
          <w:lang w:bidi="ar-SA"/>
        </w:rPr>
      </w:pPr>
      <w:r>
        <w:rPr>
          <w:rFonts w:hint="eastAsia" w:ascii="Times New Roman" w:hAnsi="Times New Roman" w:eastAsia="方正小标宋_GBK" w:cs="Times New Roman"/>
          <w:kern w:val="2"/>
          <w:sz w:val="44"/>
          <w:szCs w:val="44"/>
          <w:lang w:bidi="ar-SA"/>
        </w:rPr>
        <w:t>濒危野生动植物进出口企业参训单位</w:t>
      </w:r>
    </w:p>
    <w:p>
      <w:pPr>
        <w:spacing w:line="480" w:lineRule="exact"/>
        <w:jc w:val="center"/>
        <w:rPr>
          <w:rFonts w:hint="eastAsia" w:ascii="Times New Roman" w:hAnsi="Times New Roman" w:eastAsia="方正小标宋_GBK" w:cs="Times New Roman"/>
          <w:kern w:val="2"/>
          <w:sz w:val="44"/>
          <w:szCs w:val="44"/>
          <w:lang w:bidi="ar-SA"/>
        </w:rPr>
      </w:pPr>
    </w:p>
    <w:tbl>
      <w:tblPr>
        <w:tblStyle w:val="4"/>
        <w:tblW w:w="767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35"/>
        <w:gridCol w:w="563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4"/>
                <w:szCs w:val="24"/>
              </w:rPr>
              <w:t>企业名称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  <w:lang w:bidi="ar-SA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苏州药明康德新药开发有限公司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南通道沃建材有限公司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张家港保税区广聚合国际贸易有限公司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无锡华韵乐器有限公司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张家港保税区乐轩贸易有限公司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张家港保税区正恒和贸易有限公司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7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张家港保税区天禄进出口有限公司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8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无锡紫杉药业股份有限公司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9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张家港市天枢贸易有限公司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10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靖江盈丰木业有限公司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11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无锡向山兰园科技有限公司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12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苏州市森美供应链管理有限公司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13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南通药明康德医药科技有限公司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14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无锡市阜博进出口有限公司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15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江阴天江药业有限公司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16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张家港市鑫峰晴贸易有限公司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17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新区万其兴二胡工坊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18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南京药明康德新药开发有限公司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19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张家港保税区天雯进出口有限公司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20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姑苏区田文民族乐器厂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21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江苏金赛德供应链管理有限公司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22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盐城美青花卉有限公司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23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保诺生物科技（江苏）有限公司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24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中国国投国际贸易南京有限公司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25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张家港保税区协盈贸易有限公司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26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无锡市科登进出口贸易有限公司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27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连云港花王农业科技有限公司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28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张家港保税区利雅国际贸易有限公司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29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泰兴富士时装有限公司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30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南通江岛农业发展有限公司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31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苏州米瑞可供应链管理有限公司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32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德之馨香精香料（南通）有限公司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33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苏州西山生物技术有限公司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34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苏州优浩佳进出口贸易有限公司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35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丹阳市凤鸣斋乐器有限公司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36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奇华顿香精香料（常州）有限公司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37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张家港顺天国际物流有限公司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38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驰盛国际贸易（连云港）有限公司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39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苏州西山中科药物研究开发有限公司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40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昭衍（苏州）新药研究中心有限公司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41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江苏省信诺医药对外贸易有限公司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42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张家港保税区天淼进出口有限公司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43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开秦供应链管理有限公司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44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和和木（张家港）木业有限公司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45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常州市友丰木业有限公司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46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丹阳市赵氏二胡有限公司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47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东海县良策贸易有限公司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48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昆山德邦木业有限公司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49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扬子江进出口有限公司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50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南京迷雾乐器有限公司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51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科玛化妆品（无锡）有限公司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52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中化医药有限公司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53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苏州春飞贸易有限公司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54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无锡市林艺乐器有限公司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55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苏州市国韵乐器有限公司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56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苏州恒生进出口有限公司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57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苏州衔尾蛇皮具有限公司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58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姑苏区培洲二胡设计工作室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59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张家港市森和贸易有限公司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60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张家港星瑞橙贸易有限公司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61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江苏亿超健康科技有限公司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62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江苏杰森国际贸易有限公司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63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苏州方达新药开发有限公司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64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苏州熙华新药开发有限公司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65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张家港东方森林木业有限公司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66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江苏红豆杉医药科技有限公司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67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江苏龙希进出口贸易有限公司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68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2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苏州康维讯生物科技有限公司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69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应世生物科技（南京）有限公司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70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江苏灵赋兆生源生物技术有限公司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71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江苏勃林格殷格翰生物制品有限公司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0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72</w:t>
            </w:r>
          </w:p>
        </w:tc>
        <w:tc>
          <w:tcPr>
            <w:tcW w:w="5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/>
                <w:color w:val="auto"/>
                <w:kern w:val="0"/>
                <w:sz w:val="24"/>
                <w:szCs w:val="24"/>
              </w:rPr>
            </w:pPr>
            <w:r>
              <w:rPr>
                <w:rFonts w:hint="default"/>
                <w:color w:val="auto"/>
                <w:kern w:val="0"/>
                <w:sz w:val="24"/>
                <w:szCs w:val="24"/>
              </w:rPr>
              <w:t>江苏鼎泰药物研究（集团）股份有限公司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2D09CF"/>
    <w:rsid w:val="372D0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autoSpaceDE w:val="0"/>
      <w:autoSpaceDN w:val="0"/>
      <w:snapToGrid w:val="0"/>
      <w:spacing w:line="590" w:lineRule="atLeast"/>
      <w:ind w:firstLine="0"/>
      <w:jc w:val="both"/>
    </w:pPr>
    <w:rPr>
      <w:rFonts w:ascii="Times New Roman" w:hAnsi="Times New Roman" w:eastAsia="方正仿宋_GBK" w:cs="Times New Roman"/>
      <w:snapToGrid w:val="0"/>
      <w:sz w:val="32"/>
      <w:szCs w:val="20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2024-09-14T02:46:00Z</dcterms:created>
  <dc:creator>fxm</dc:creator>
  <cp:lastModifiedBy>fxm</cp:lastModifiedBy>
  <dcterms:modified xsi:type="dcterms:W3CDTF">2024-09-14T02:47:02Z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