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附件</w:t>
      </w:r>
    </w:p>
    <w:p>
      <w:pPr>
        <w:spacing w:line="560" w:lineRule="exact"/>
        <w:ind w:firstLine="720" w:firstLineChars="200"/>
        <w:jc w:val="center"/>
        <w:rPr>
          <w:rFonts w:ascii="Times New Roman" w:hAnsi="Times New Roman" w:eastAsia="方正小标宋_GBK" w:cs="Times New Roman"/>
          <w:sz w:val="36"/>
          <w:szCs w:val="36"/>
        </w:rPr>
      </w:pPr>
      <w:r>
        <w:rPr>
          <w:rFonts w:hint="eastAsia" w:ascii="Times New Roman" w:hAnsi="Times New Roman" w:eastAsia="方正小标宋_GBK" w:cs="Times New Roman"/>
          <w:sz w:val="36"/>
          <w:szCs w:val="36"/>
        </w:rPr>
        <w:t>“林业科技产业与改革创新发展”主题征文拟获奖</w:t>
      </w:r>
      <w:r>
        <w:rPr>
          <w:rFonts w:hint="eastAsia" w:ascii="Times New Roman" w:hAnsi="Times New Roman" w:eastAsia="方正小标宋_GBK" w:cs="Times New Roman"/>
          <w:sz w:val="36"/>
          <w:szCs w:val="36"/>
          <w:lang w:eastAsia="zh-CN"/>
        </w:rPr>
        <w:t>作品</w:t>
      </w:r>
      <w:bookmarkStart w:id="0" w:name="_GoBack"/>
      <w:bookmarkEnd w:id="0"/>
      <w:r>
        <w:rPr>
          <w:rFonts w:hint="eastAsia" w:ascii="Times New Roman" w:hAnsi="Times New Roman" w:eastAsia="方正小标宋_GBK" w:cs="Times New Roman"/>
          <w:sz w:val="36"/>
          <w:szCs w:val="36"/>
        </w:rPr>
        <w:t>名单</w:t>
      </w:r>
    </w:p>
    <w:p>
      <w:pPr>
        <w:spacing w:line="560" w:lineRule="exact"/>
        <w:ind w:firstLine="640" w:firstLineChars="200"/>
        <w:jc w:val="center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一等奖（</w:t>
      </w:r>
      <w:r>
        <w:rPr>
          <w:rFonts w:hint="eastAsia" w:ascii="Times New Roman" w:hAnsi="Times New Roman" w:eastAsia="方正黑体_GBK" w:cs="Times New Roman"/>
          <w:sz w:val="32"/>
          <w:szCs w:val="32"/>
        </w:rPr>
        <w:t>5</w:t>
      </w:r>
      <w:r>
        <w:rPr>
          <w:rFonts w:ascii="Times New Roman" w:hAnsi="Times New Roman" w:eastAsia="方正黑体_GBK" w:cs="Times New Roman"/>
          <w:sz w:val="32"/>
          <w:szCs w:val="32"/>
        </w:rPr>
        <w:t>名）</w:t>
      </w:r>
    </w:p>
    <w:p>
      <w:pPr>
        <w:spacing w:line="560" w:lineRule="exact"/>
        <w:ind w:firstLine="720" w:firstLineChars="200"/>
        <w:jc w:val="center"/>
        <w:rPr>
          <w:rFonts w:ascii="Times New Roman" w:hAnsi="Times New Roman" w:eastAsia="方正黑体_GBK" w:cs="Times New Roman"/>
          <w:sz w:val="36"/>
          <w:szCs w:val="36"/>
        </w:rPr>
      </w:pPr>
    </w:p>
    <w:tbl>
      <w:tblPr>
        <w:tblStyle w:val="4"/>
        <w:tblW w:w="136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9"/>
        <w:gridCol w:w="7119"/>
        <w:gridCol w:w="34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line="300" w:lineRule="atLeast"/>
              <w:ind w:firstLine="320" w:firstLineChars="100"/>
              <w:jc w:val="left"/>
              <w:rPr>
                <w:rFonts w:ascii="方正黑体_GBK" w:hAnsi="Times New Roman" w:eastAsia="方正黑体_GBK" w:cs="Times New Roman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sz w:val="32"/>
                <w:szCs w:val="32"/>
              </w:rPr>
              <w:t>作   者</w:t>
            </w:r>
          </w:p>
        </w:tc>
        <w:tc>
          <w:tcPr>
            <w:tcW w:w="7119" w:type="dxa"/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line="300" w:lineRule="atLeast"/>
              <w:jc w:val="center"/>
              <w:rPr>
                <w:rFonts w:ascii="方正黑体_GBK" w:hAnsi="Times New Roman" w:eastAsia="方正黑体_GBK" w:cs="Times New Roman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sz w:val="32"/>
                <w:szCs w:val="32"/>
              </w:rPr>
              <w:t>标    题</w:t>
            </w:r>
          </w:p>
        </w:tc>
        <w:tc>
          <w:tcPr>
            <w:tcW w:w="3402" w:type="dxa"/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line="300" w:lineRule="atLeast"/>
              <w:jc w:val="center"/>
              <w:rPr>
                <w:rFonts w:ascii="方正黑体_GBK" w:hAnsi="Times New Roman" w:eastAsia="方正黑体_GBK" w:cs="Times New Roman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sz w:val="32"/>
                <w:szCs w:val="32"/>
              </w:rPr>
              <w:t>第一作者单位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张  芳、李志帆、曹福亮、汪贵斌、苏二正</w:t>
            </w:r>
          </w:p>
        </w:tc>
        <w:tc>
          <w:tcPr>
            <w:tcW w:w="7119" w:type="dxa"/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我国白果食品加工业现状调研报告</w:t>
            </w: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spacing w:val="-4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pacing w:val="-4"/>
                <w:kern w:val="0"/>
                <w:sz w:val="24"/>
                <w:szCs w:val="24"/>
              </w:rPr>
              <w:t>南京林业大学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陈发棣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、张  飞</w:t>
            </w:r>
          </w:p>
        </w:tc>
        <w:tc>
          <w:tcPr>
            <w:tcW w:w="7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江苏省花卉产业发展研究报告</w:t>
            </w:r>
          </w:p>
        </w:tc>
        <w:tc>
          <w:tcPr>
            <w:tcW w:w="3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spacing w:val="-4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pacing w:val="-4"/>
                <w:kern w:val="0"/>
                <w:sz w:val="24"/>
                <w:szCs w:val="24"/>
              </w:rPr>
              <w:t>南京农业大学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薛建辉、朱俊文、宋春凤</w:t>
            </w:r>
          </w:p>
        </w:tc>
        <w:tc>
          <w:tcPr>
            <w:tcW w:w="7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苏州市湿地生物多样性现状与保护成效分析</w:t>
            </w:r>
          </w:p>
        </w:tc>
        <w:tc>
          <w:tcPr>
            <w:tcW w:w="3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spacing w:val="-4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pacing w:val="-4"/>
                <w:kern w:val="0"/>
                <w:sz w:val="24"/>
                <w:szCs w:val="24"/>
              </w:rPr>
              <w:t>江苏省中国科学院植物研究所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肖立辉、董文青、郑隆迪、韩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骏、朱正杰、傅海峰、陆彩虹</w:t>
            </w:r>
          </w:p>
        </w:tc>
        <w:tc>
          <w:tcPr>
            <w:tcW w:w="7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江苏洪泽湖东部湿地保护区野生动物资源现状及保护对策</w:t>
            </w:r>
          </w:p>
        </w:tc>
        <w:tc>
          <w:tcPr>
            <w:tcW w:w="3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spacing w:val="-4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pacing w:val="-4"/>
                <w:kern w:val="0"/>
                <w:sz w:val="24"/>
                <w:szCs w:val="24"/>
              </w:rPr>
              <w:t>洪泽湖东部湿地省级自然保护区管理处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邢  玮、于才芷、魏裕宇、逄颜冰、葛之葳、薛建辉</w:t>
            </w:r>
          </w:p>
        </w:tc>
        <w:tc>
          <w:tcPr>
            <w:tcW w:w="7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苏州湿地碳汇计量方法学研究</w:t>
            </w:r>
          </w:p>
        </w:tc>
        <w:tc>
          <w:tcPr>
            <w:tcW w:w="3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江苏省林业科学研究院</w:t>
            </w:r>
          </w:p>
        </w:tc>
      </w:tr>
    </w:tbl>
    <w:p>
      <w:pPr>
        <w:spacing w:line="560" w:lineRule="exact"/>
        <w:ind w:firstLine="720" w:firstLineChars="200"/>
        <w:jc w:val="center"/>
        <w:rPr>
          <w:rFonts w:ascii="Times New Roman" w:hAnsi="Times New Roman" w:eastAsia="方正黑体_GBK" w:cs="Times New Roman"/>
          <w:sz w:val="36"/>
          <w:szCs w:val="36"/>
        </w:rPr>
      </w:pPr>
    </w:p>
    <w:p>
      <w:pPr>
        <w:spacing w:line="560" w:lineRule="exact"/>
        <w:ind w:firstLine="720" w:firstLineChars="200"/>
        <w:jc w:val="center"/>
        <w:rPr>
          <w:rFonts w:ascii="Times New Roman" w:hAnsi="Times New Roman" w:eastAsia="方正黑体_GBK" w:cs="Times New Roman"/>
          <w:sz w:val="36"/>
          <w:szCs w:val="36"/>
        </w:rPr>
      </w:pPr>
    </w:p>
    <w:p>
      <w:pPr>
        <w:spacing w:line="560" w:lineRule="exact"/>
        <w:ind w:firstLine="720" w:firstLineChars="200"/>
        <w:jc w:val="center"/>
        <w:rPr>
          <w:rFonts w:ascii="Times New Roman" w:hAnsi="Times New Roman" w:eastAsia="方正黑体_GBK" w:cs="Times New Roman"/>
          <w:sz w:val="36"/>
          <w:szCs w:val="36"/>
        </w:rPr>
      </w:pPr>
    </w:p>
    <w:p>
      <w:pPr>
        <w:spacing w:line="560" w:lineRule="exact"/>
        <w:ind w:firstLine="720" w:firstLineChars="200"/>
        <w:jc w:val="center"/>
        <w:rPr>
          <w:rFonts w:ascii="Times New Roman" w:hAnsi="Times New Roman" w:eastAsia="方正黑体_GBK" w:cs="Times New Roman"/>
          <w:sz w:val="36"/>
          <w:szCs w:val="36"/>
        </w:rPr>
      </w:pPr>
    </w:p>
    <w:p>
      <w:pPr>
        <w:spacing w:line="560" w:lineRule="exact"/>
        <w:ind w:firstLine="720" w:firstLineChars="200"/>
        <w:jc w:val="center"/>
        <w:rPr>
          <w:rFonts w:ascii="Times New Roman" w:hAnsi="Times New Roman" w:eastAsia="方正黑体_GBK" w:cs="Times New Roman"/>
          <w:sz w:val="36"/>
          <w:szCs w:val="36"/>
        </w:rPr>
      </w:pPr>
    </w:p>
    <w:p>
      <w:pPr>
        <w:spacing w:line="560" w:lineRule="exact"/>
        <w:ind w:firstLine="720" w:firstLineChars="200"/>
        <w:jc w:val="center"/>
        <w:rPr>
          <w:rFonts w:ascii="Times New Roman" w:hAnsi="Times New Roman" w:eastAsia="方正黑体_GBK" w:cs="Times New Roman"/>
          <w:sz w:val="36"/>
          <w:szCs w:val="36"/>
        </w:rPr>
      </w:pPr>
    </w:p>
    <w:p>
      <w:pPr>
        <w:spacing w:line="560" w:lineRule="exact"/>
        <w:ind w:firstLine="640" w:firstLineChars="200"/>
        <w:jc w:val="center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hint="eastAsia" w:ascii="Times New Roman" w:hAnsi="Times New Roman" w:eastAsia="方正黑体_GBK" w:cs="Times New Roman"/>
          <w:sz w:val="32"/>
          <w:szCs w:val="32"/>
        </w:rPr>
        <w:t>二等奖（14名）</w:t>
      </w:r>
    </w:p>
    <w:p>
      <w:pPr>
        <w:spacing w:line="560" w:lineRule="exact"/>
        <w:ind w:firstLine="720" w:firstLineChars="200"/>
        <w:jc w:val="center"/>
        <w:rPr>
          <w:rFonts w:ascii="Times New Roman" w:hAnsi="Times New Roman" w:eastAsia="方正黑体_GBK" w:cs="Times New Roman"/>
          <w:sz w:val="36"/>
          <w:szCs w:val="36"/>
        </w:rPr>
      </w:pPr>
    </w:p>
    <w:tbl>
      <w:tblPr>
        <w:tblStyle w:val="4"/>
        <w:tblW w:w="1360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9"/>
        <w:gridCol w:w="6663"/>
        <w:gridCol w:w="38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ind w:firstLine="320" w:firstLineChars="100"/>
              <w:jc w:val="left"/>
              <w:rPr>
                <w:rFonts w:ascii="Times New Roman" w:hAnsi="Times New Roman" w:eastAsia="方正黑体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黑体_GBK" w:cs="Times New Roman"/>
                <w:sz w:val="32"/>
                <w:szCs w:val="32"/>
              </w:rPr>
              <w:t>作   者</w:t>
            </w:r>
          </w:p>
        </w:tc>
        <w:tc>
          <w:tcPr>
            <w:tcW w:w="6663" w:type="dxa"/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center"/>
              <w:rPr>
                <w:rFonts w:ascii="Times New Roman" w:hAnsi="Times New Roman" w:eastAsia="方正黑体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黑体_GBK" w:cs="Times New Roman"/>
                <w:sz w:val="32"/>
                <w:szCs w:val="32"/>
              </w:rPr>
              <w:t>标    题</w:t>
            </w: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center"/>
              <w:rPr>
                <w:rFonts w:ascii="Times New Roman" w:hAnsi="Times New Roman" w:eastAsia="方正黑体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黑体_GBK" w:cs="Times New Roman"/>
                <w:sz w:val="32"/>
                <w:szCs w:val="32"/>
              </w:rPr>
              <w:t>第一作者单位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高亚军、王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圳、黄建庭、庄文峰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云台山特色林木种质资源保护与开发利用探讨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连云港市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林业技术指导站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刘建秀、郭海林、宗俊勤、陈静波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发展我省沿海草坪种业、实现我省草坪产业转型升级的机遇与挑战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江苏省中国科学院植物研究所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周海燕、喻  炜、刘  英、杨雨图、习  爽、谢  超、沈胤熙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刨花板品质智能控制与检测发展综述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南京林业大学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周  洁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食用林产品质量安全发展现状及对策分析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江苏省林业科学研究院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李成之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从“人保”到“技保”让守护洪泽湖湿地更“智慧”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江苏省泗洪洪泽湖湿地国家级自然保护区管理处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赵  晖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、朱正杰、卜弘毅、  翟  可、安树青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江苏省湿地碳汇潜力及碳增汇对策探讨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南京大学常熟生态研究院（南大（常熟）研究院有限公司）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冯育青、范竟成、朱铮宇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持续探索湿地保护“苏州路径”  争当新时代国际湿地城市“优等生”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林业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管福琴、陈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雨、汤诗杰、</w:t>
            </w:r>
          </w:p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王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忠、芦治国、刘兴剑、周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伟、宋春凤、李乃伟、</w:t>
            </w:r>
          </w:p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冯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煦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江苏省珍稀濒危植物保护现状及迁地保育探索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江苏省中国科学院植物研究所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张  钰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、王红玲、施士争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柳树种苗行业发展概况和建议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江苏省林业科学研究院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孟家松、陶  俊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江苏省观赏牡丹应用现状及发展思考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程龙飞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苏北地区木材加工产业发展现状及其对策探讨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宿迁市林业技术指导中心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唐  玲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、刘华周、曹璞渊、贾俊丽、贾新平、梅雪莹、罗海蓉、沈鸿猷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江苏省森林康养产业调研报告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江苏省农业科学院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宣继萍、郁世军、张计育、翟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敏、莫正海、王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刚、王国明、王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涛、贾展慧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江苏省薄壳山核桃产业发展情况调研报告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江苏省中国科学院植物研究所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刘彧辰、徐晶晶、许  虎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沿海碳汇造林 注重科技兴林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盐城市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林业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局</w:t>
            </w:r>
          </w:p>
        </w:tc>
      </w:tr>
    </w:tbl>
    <w:p>
      <w:pPr>
        <w:spacing w:line="560" w:lineRule="exact"/>
        <w:ind w:firstLine="720" w:firstLineChars="200"/>
        <w:jc w:val="center"/>
        <w:rPr>
          <w:rFonts w:ascii="Times New Roman" w:hAnsi="Times New Roman" w:eastAsia="方正黑体_GBK" w:cs="Times New Roman"/>
          <w:sz w:val="36"/>
          <w:szCs w:val="36"/>
        </w:rPr>
      </w:pPr>
    </w:p>
    <w:p>
      <w:pPr>
        <w:spacing w:line="560" w:lineRule="exact"/>
        <w:ind w:firstLine="720" w:firstLineChars="200"/>
        <w:jc w:val="center"/>
        <w:rPr>
          <w:rFonts w:ascii="Times New Roman" w:hAnsi="Times New Roman" w:eastAsia="方正黑体_GBK" w:cs="Times New Roman"/>
          <w:sz w:val="36"/>
          <w:szCs w:val="36"/>
        </w:rPr>
      </w:pPr>
    </w:p>
    <w:p>
      <w:pPr>
        <w:spacing w:line="560" w:lineRule="exact"/>
        <w:ind w:firstLine="720" w:firstLineChars="200"/>
        <w:jc w:val="center"/>
        <w:rPr>
          <w:rFonts w:ascii="Times New Roman" w:hAnsi="Times New Roman" w:eastAsia="方正黑体_GBK" w:cs="Times New Roman"/>
          <w:sz w:val="36"/>
          <w:szCs w:val="36"/>
        </w:rPr>
      </w:pPr>
    </w:p>
    <w:p>
      <w:pPr>
        <w:spacing w:line="560" w:lineRule="exact"/>
        <w:ind w:firstLine="720" w:firstLineChars="200"/>
        <w:jc w:val="center"/>
        <w:rPr>
          <w:rFonts w:ascii="Times New Roman" w:hAnsi="Times New Roman" w:eastAsia="方正黑体_GBK" w:cs="Times New Roman"/>
          <w:sz w:val="36"/>
          <w:szCs w:val="36"/>
        </w:rPr>
      </w:pPr>
    </w:p>
    <w:p>
      <w:pPr>
        <w:spacing w:line="560" w:lineRule="exact"/>
        <w:ind w:firstLine="720" w:firstLineChars="200"/>
        <w:jc w:val="center"/>
        <w:rPr>
          <w:rFonts w:ascii="Times New Roman" w:hAnsi="Times New Roman" w:eastAsia="方正黑体_GBK" w:cs="Times New Roman"/>
          <w:sz w:val="36"/>
          <w:szCs w:val="36"/>
        </w:rPr>
      </w:pPr>
    </w:p>
    <w:p>
      <w:pPr>
        <w:spacing w:line="560" w:lineRule="exact"/>
        <w:ind w:firstLine="720" w:firstLineChars="200"/>
        <w:jc w:val="center"/>
        <w:rPr>
          <w:rFonts w:ascii="Times New Roman" w:hAnsi="Times New Roman" w:eastAsia="方正黑体_GBK" w:cs="Times New Roman"/>
          <w:sz w:val="36"/>
          <w:szCs w:val="36"/>
        </w:rPr>
      </w:pPr>
    </w:p>
    <w:p>
      <w:pPr>
        <w:spacing w:line="560" w:lineRule="exact"/>
        <w:ind w:firstLine="720" w:firstLineChars="200"/>
        <w:jc w:val="center"/>
        <w:rPr>
          <w:rFonts w:ascii="Times New Roman" w:hAnsi="Times New Roman" w:eastAsia="方正黑体_GBK" w:cs="Times New Roman"/>
          <w:sz w:val="36"/>
          <w:szCs w:val="36"/>
        </w:rPr>
      </w:pPr>
    </w:p>
    <w:p>
      <w:pPr>
        <w:spacing w:line="560" w:lineRule="exact"/>
        <w:ind w:firstLine="720" w:firstLineChars="200"/>
        <w:jc w:val="center"/>
        <w:rPr>
          <w:rFonts w:ascii="Times New Roman" w:hAnsi="Times New Roman" w:eastAsia="方正黑体_GBK" w:cs="Times New Roman"/>
          <w:sz w:val="36"/>
          <w:szCs w:val="36"/>
        </w:rPr>
      </w:pPr>
    </w:p>
    <w:p>
      <w:pPr>
        <w:spacing w:line="560" w:lineRule="exact"/>
        <w:ind w:firstLine="640" w:firstLineChars="200"/>
        <w:jc w:val="center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hint="eastAsia" w:ascii="Times New Roman" w:hAnsi="Times New Roman" w:eastAsia="方正黑体_GBK" w:cs="Times New Roman"/>
          <w:sz w:val="32"/>
          <w:szCs w:val="32"/>
        </w:rPr>
        <w:t>三等奖（26名）</w:t>
      </w:r>
    </w:p>
    <w:tbl>
      <w:tblPr>
        <w:tblStyle w:val="4"/>
        <w:tblW w:w="1360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9"/>
        <w:gridCol w:w="6663"/>
        <w:gridCol w:w="38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ind w:firstLine="320" w:firstLineChars="100"/>
              <w:jc w:val="left"/>
              <w:rPr>
                <w:rFonts w:ascii="方正黑体_GBK" w:hAnsi="Times New Roman" w:eastAsia="方正黑体_GBK" w:cs="Times New Roman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sz w:val="32"/>
                <w:szCs w:val="32"/>
              </w:rPr>
              <w:t>作   者</w:t>
            </w:r>
          </w:p>
        </w:tc>
        <w:tc>
          <w:tcPr>
            <w:tcW w:w="6663" w:type="dxa"/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center"/>
              <w:rPr>
                <w:rFonts w:ascii="方正黑体_GBK" w:hAnsi="Times New Roman" w:eastAsia="方正黑体_GBK" w:cs="Times New Roman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sz w:val="32"/>
                <w:szCs w:val="32"/>
              </w:rPr>
              <w:t>标    题</w:t>
            </w: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center"/>
              <w:rPr>
                <w:rFonts w:ascii="方正黑体_GBK" w:hAnsi="Times New Roman" w:eastAsia="方正黑体_GBK" w:cs="Times New Roman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sz w:val="32"/>
                <w:szCs w:val="32"/>
              </w:rPr>
              <w:t>第一作者单位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许  斌、王怡清、林  枫、徐集成、许克平、徐集略、王新洲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破茧成蝶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—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创新引领江苏竹产业发展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南京林业大学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芦  昱、吕忠海、柳絮飞、腊孟珂、曹海琳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江苏省林业生态产品价值实现路径建议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南京大学环境规划设计研究院集团股份公司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何冬梅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江苏省湿地监测现状和管理对策研究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江苏省林业科学研究院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张艳梅、杭悦宇、王奇志，孙小芹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江苏省林源中药材的种植现状、问题及发展对策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江苏省中国科学院植物研究所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黄  超、张兴榆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无锡市林木种质资源调查与保护利用对策研究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许世鑫、秦盛华、许  虎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打造沿海绿林海疆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构建滩涂绿色长廊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盐城市林业局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李  燕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浅析林业龙头企业发展重点与建议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王红玲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泡桐的基本特性及其产业发展的建议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江苏省林业科学研究院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杜奕承、苌  棒、李卫星、王  莉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江苏省银杏产业发展现状与前景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朱江涛、翟秋红、徐晓清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森林抚育经营技术与策略探析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张士伟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丰县木材产业现状及对策建议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丰县林业局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刘红霞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发展苗木产业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助力乡村振兴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—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泰兴市苗木产业发展情况调研报告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泰兴市林业技术推广中心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范弟武、郭俨辉、骆鹏飞、肖立辉、李  威、韩建刚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洪泽湖退养还湖生态与安全现状调研与建议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南京林业大学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李冬林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强化珍贵树种应用 高质量建设现代城市森林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江苏省林业科学研究院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崔光彩、杨  璐、方升佐、</w:t>
            </w:r>
          </w:p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郑琰燚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基于专利计量学分析中国青钱柳研究现状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南京林业大学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贾展慧、郁世军、张计育、莫正海、王  涛、王  刚、翟  敏、胡龙娇、王国明、宣继萍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薄壳山核桃产业标准化的现状和发展策略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江苏省中国科学院植物研究所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王骏杰、殷云龙、於朝广、华建峰、吴淑芳、潘  彪、廖  敏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中山杉生物质资源综合利用研究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江苏省中国科学院植物研究所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徐茂雯、叶  军、陈立勇、张  露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泰州：全面推行林长制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守护好绿色资源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泰州市林业局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张水锋、郑怀兵、方道友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科技创新在古树名木资源保护中的应用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南京警察学院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黄晓潇、陈佳佳、付丹阳、孙亚亚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“两山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”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理念下句容市乡村振兴战略的探索与实践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江苏农林职业技术学院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何小洋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注重科技兴林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构建沿海绿林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东台市沿海新林场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张  健、刘国元、连博琳、陈艳红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江苏省沿海滩涂生态现状的调研分析与发展建议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陈  雨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“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林下中药材种植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”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的困境和前期探索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江苏省中国科学院植物研究所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李  畅、邓衍明、苏家乐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林木种质资源库科技创新与科学普及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“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一体两翼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”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融合发展的实践与思考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江苏省农业科学院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教忠意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浅谈江苏省高质量开展林草科技推广工作的政策建议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江苏省林业科学研究院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陈亚辉、张  敏</w:t>
            </w:r>
          </w:p>
        </w:tc>
        <w:tc>
          <w:tcPr>
            <w:tcW w:w="6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江苏省乌饭树产业发展情况的调研报告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00" w:lineRule="atLeast"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江苏省林业科学研究院</w:t>
            </w:r>
          </w:p>
        </w:tc>
      </w:tr>
    </w:tbl>
    <w:p/>
    <w:sectPr>
      <w:pgSz w:w="16838" w:h="11906" w:orient="landscape"/>
      <w:pgMar w:top="1531" w:right="1758" w:bottom="1531" w:left="1871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6A56"/>
    <w:rsid w:val="00014D21"/>
    <w:rsid w:val="00306A56"/>
    <w:rsid w:val="006701F6"/>
    <w:rsid w:val="007E746A"/>
    <w:rsid w:val="00A160B7"/>
    <w:rsid w:val="2FFE0BC8"/>
    <w:rsid w:val="6F7C7AC8"/>
    <w:rsid w:val="74FB819E"/>
    <w:rsid w:val="F7FF7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387</Words>
  <Characters>2206</Characters>
  <Lines>18</Lines>
  <Paragraphs>5</Paragraphs>
  <TotalTime>0</TotalTime>
  <ScaleCrop>false</ScaleCrop>
  <LinksUpToDate>false</LinksUpToDate>
  <CharactersWithSpaces>2588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2024-05-18T07:07:00Z</dcterms:created>
  <dc:creator>lyc</dc:creator>
  <cp:lastModifiedBy>uos</cp:lastModifiedBy>
  <dcterms:modified xsi:type="dcterms:W3CDTF">2024-05-17T15:52:19Z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