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Times New Roman" w:hAnsi="Times New Roman" w:eastAsia="方正黑体_GBK" w:cs="Times New Roman"/>
          <w:sz w:val="32"/>
          <w:szCs w:val="32"/>
        </w:rPr>
      </w:pPr>
    </w:p>
    <w:p>
      <w:pPr>
        <w:spacing w:line="560" w:lineRule="exact"/>
        <w:jc w:val="center"/>
        <w:rPr>
          <w:rFonts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江苏省实施《古树名木保护条例》办法</w:t>
      </w:r>
    </w:p>
    <w:p>
      <w:pPr>
        <w:spacing w:line="560" w:lineRule="exact"/>
        <w:jc w:val="center"/>
        <w:rPr>
          <w:rFonts w:hint="eastAsia"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（草案）</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9"/>
        <w:rPr>
          <w:rFonts w:hint="eastAsia" w:ascii="Times New Roman" w:hAnsi="Times New Roman" w:eastAsia="方正小标宋_GBK" w:cs="方正小标宋_GBK"/>
          <w:b w:val="0"/>
          <w:bCs w:val="0"/>
          <w:sz w:val="48"/>
          <w:szCs w:val="48"/>
          <w:lang w:val="en-US" w:eastAsia="zh-CN"/>
        </w:rPr>
      </w:pPr>
      <w:r>
        <w:rPr>
          <w:rFonts w:hint="eastAsia" w:ascii="方正楷体_GBK" w:hAnsi="方正楷体_GBK" w:eastAsia="方正楷体_GBK" w:cs="方正楷体_GBK"/>
          <w:b w:val="0"/>
          <w:bCs w:val="0"/>
          <w:sz w:val="32"/>
          <w:szCs w:val="32"/>
          <w:lang w:val="en-US" w:eastAsia="zh-CN"/>
        </w:rPr>
        <w:t>（征求意见稿）</w:t>
      </w:r>
    </w:p>
    <w:p>
      <w:pPr>
        <w:spacing w:line="560" w:lineRule="exact"/>
        <w:jc w:val="center"/>
        <w:rPr>
          <w:rFonts w:hint="eastAsia" w:ascii="Times New Roman" w:hAnsi="Times New Roman" w:eastAsia="方正小标宋_GBK" w:cs="方正小标宋_GBK"/>
          <w:sz w:val="44"/>
          <w:szCs w:val="44"/>
        </w:rPr>
      </w:pPr>
    </w:p>
    <w:p>
      <w:pPr>
        <w:spacing w:line="360" w:lineRule="auto"/>
        <w:rPr>
          <w:rFonts w:ascii="Times New Roman" w:hAnsi="Times New Roman" w:eastAsia="方正小标宋简体"/>
          <w:bCs/>
          <w:sz w:val="32"/>
          <w:szCs w:val="32"/>
        </w:rPr>
      </w:pPr>
    </w:p>
    <w:p>
      <w:pPr>
        <w:spacing w:line="520" w:lineRule="exact"/>
        <w:ind w:firstLine="640" w:firstLineChars="200"/>
        <w:rPr>
          <w:rFonts w:ascii="方正楷体_GBK" w:hAnsi="方正楷体_GBK" w:eastAsia="方正楷体_GBK" w:cs="方正楷体_GBK"/>
          <w:bCs/>
          <w:sz w:val="32"/>
          <w:szCs w:val="32"/>
        </w:rPr>
      </w:pPr>
      <w:r>
        <w:rPr>
          <w:rFonts w:hint="eastAsia" w:ascii="方正楷体_GBK" w:hAnsi="方正楷体_GBK" w:eastAsia="方正楷体_GBK" w:cs="方正楷体_GBK"/>
          <w:bCs/>
          <w:sz w:val="32"/>
          <w:szCs w:val="32"/>
        </w:rPr>
        <w:t>第一章  总则（7条）</w:t>
      </w:r>
    </w:p>
    <w:p>
      <w:pPr>
        <w:spacing w:line="520" w:lineRule="exact"/>
        <w:ind w:firstLine="640" w:firstLineChars="200"/>
        <w:rPr>
          <w:rFonts w:ascii="方正楷体_GBK" w:hAnsi="方正楷体_GBK" w:eastAsia="方正楷体_GBK" w:cs="方正楷体_GBK"/>
          <w:bCs/>
          <w:sz w:val="32"/>
          <w:szCs w:val="32"/>
        </w:rPr>
      </w:pPr>
      <w:r>
        <w:rPr>
          <w:rFonts w:hint="eastAsia" w:ascii="方正楷体_GBK" w:hAnsi="方正楷体_GBK" w:eastAsia="方正楷体_GBK" w:cs="方正楷体_GBK"/>
          <w:bCs/>
          <w:sz w:val="32"/>
          <w:szCs w:val="32"/>
        </w:rPr>
        <w:t>第二章  保护（9条）</w:t>
      </w:r>
    </w:p>
    <w:p>
      <w:pPr>
        <w:spacing w:line="520" w:lineRule="exact"/>
        <w:ind w:firstLine="640" w:firstLineChars="200"/>
        <w:rPr>
          <w:rFonts w:ascii="方正楷体_GBK" w:hAnsi="方正楷体_GBK" w:eastAsia="方正楷体_GBK" w:cs="方正楷体_GBK"/>
          <w:bCs/>
          <w:sz w:val="32"/>
          <w:szCs w:val="32"/>
        </w:rPr>
      </w:pPr>
      <w:r>
        <w:rPr>
          <w:rFonts w:hint="eastAsia" w:ascii="方正楷体_GBK" w:hAnsi="方正楷体_GBK" w:eastAsia="方正楷体_GBK" w:cs="方正楷体_GBK"/>
          <w:bCs/>
          <w:sz w:val="32"/>
          <w:szCs w:val="32"/>
        </w:rPr>
        <w:t xml:space="preserve">第三章  管理（14条） </w:t>
      </w:r>
    </w:p>
    <w:p>
      <w:pPr>
        <w:spacing w:line="520" w:lineRule="exact"/>
        <w:ind w:firstLine="640" w:firstLineChars="200"/>
        <w:rPr>
          <w:rFonts w:ascii="方正楷体_GBK" w:hAnsi="方正楷体_GBK" w:eastAsia="方正楷体_GBK" w:cs="方正楷体_GBK"/>
          <w:bCs/>
          <w:sz w:val="32"/>
          <w:szCs w:val="32"/>
        </w:rPr>
      </w:pPr>
      <w:r>
        <w:rPr>
          <w:rFonts w:hint="eastAsia" w:ascii="方正楷体_GBK" w:hAnsi="方正楷体_GBK" w:eastAsia="方正楷体_GBK" w:cs="方正楷体_GBK"/>
          <w:bCs/>
          <w:sz w:val="32"/>
          <w:szCs w:val="32"/>
        </w:rPr>
        <w:t>第四章  保障（8条）</w:t>
      </w:r>
    </w:p>
    <w:p>
      <w:pPr>
        <w:spacing w:line="520" w:lineRule="exact"/>
        <w:ind w:firstLine="640" w:firstLineChars="200"/>
        <w:rPr>
          <w:rFonts w:ascii="方正楷体_GBK" w:hAnsi="方正楷体_GBK" w:eastAsia="方正楷体_GBK" w:cs="方正楷体_GBK"/>
          <w:bCs/>
          <w:sz w:val="32"/>
          <w:szCs w:val="32"/>
        </w:rPr>
      </w:pPr>
      <w:r>
        <w:rPr>
          <w:rFonts w:hint="eastAsia" w:ascii="方正楷体_GBK" w:hAnsi="方正楷体_GBK" w:eastAsia="方正楷体_GBK" w:cs="方正楷体_GBK"/>
          <w:bCs/>
          <w:sz w:val="32"/>
          <w:szCs w:val="32"/>
        </w:rPr>
        <w:t>第五章  法律责任（2条）</w:t>
      </w:r>
    </w:p>
    <w:p>
      <w:pPr>
        <w:spacing w:line="520" w:lineRule="exact"/>
        <w:ind w:firstLine="640" w:firstLineChars="200"/>
        <w:rPr>
          <w:rFonts w:ascii="方正楷体_GBK" w:hAnsi="方正楷体_GBK" w:eastAsia="方正楷体_GBK" w:cs="方正楷体_GBK"/>
          <w:bCs/>
          <w:sz w:val="32"/>
          <w:szCs w:val="32"/>
        </w:rPr>
      </w:pPr>
      <w:r>
        <w:rPr>
          <w:rFonts w:hint="eastAsia" w:ascii="方正楷体_GBK" w:hAnsi="方正楷体_GBK" w:eastAsia="方正楷体_GBK" w:cs="方正楷体_GBK"/>
          <w:bCs/>
          <w:sz w:val="32"/>
          <w:szCs w:val="32"/>
        </w:rPr>
        <w:t>第六章  附则（1条）</w:t>
      </w:r>
    </w:p>
    <w:p>
      <w:pPr>
        <w:spacing w:line="520" w:lineRule="exact"/>
        <w:ind w:firstLine="1920" w:firstLineChars="600"/>
        <w:rPr>
          <w:rFonts w:ascii="方正楷体_GBK" w:hAnsi="方正楷体_GBK" w:eastAsia="方正楷体_GBK" w:cs="方正楷体_GBK"/>
          <w:bCs/>
          <w:sz w:val="32"/>
          <w:szCs w:val="32"/>
        </w:rPr>
      </w:pPr>
      <w:r>
        <w:rPr>
          <w:rFonts w:hint="eastAsia" w:ascii="方正楷体_GBK" w:hAnsi="方正楷体_GBK" w:eastAsia="方正楷体_GBK" w:cs="方正楷体_GBK"/>
          <w:bCs/>
          <w:sz w:val="32"/>
          <w:szCs w:val="32"/>
        </w:rPr>
        <w:t>共41条</w:t>
      </w:r>
    </w:p>
    <w:p>
      <w:pPr>
        <w:spacing w:line="520" w:lineRule="exact"/>
        <w:ind w:firstLine="480" w:firstLineChars="200"/>
        <w:rPr>
          <w:rFonts w:ascii="Times New Roman" w:hAnsi="Times New Roman" w:eastAsia="黑体" w:cs="Times New Roman"/>
          <w:kern w:val="0"/>
          <w:sz w:val="24"/>
        </w:rPr>
      </w:pPr>
    </w:p>
    <w:p>
      <w:pPr>
        <w:spacing w:line="560" w:lineRule="exact"/>
        <w:jc w:val="center"/>
        <w:rPr>
          <w:rFonts w:ascii="Times New Roman" w:hAnsi="Times New Roman" w:eastAsia="方正黑体_GBK" w:cs="方正黑体_GBK"/>
          <w:bCs/>
          <w:sz w:val="32"/>
          <w:szCs w:val="32"/>
        </w:rPr>
      </w:pPr>
      <w:r>
        <w:rPr>
          <w:rFonts w:hint="eastAsia" w:ascii="Times New Roman" w:hAnsi="Times New Roman" w:eastAsia="方正黑体_GBK" w:cs="方正黑体_GBK"/>
          <w:bCs/>
          <w:sz w:val="32"/>
          <w:szCs w:val="32"/>
        </w:rPr>
        <w:t>第一章  总  则</w:t>
      </w:r>
    </w:p>
    <w:p>
      <w:pPr>
        <w:spacing w:line="560" w:lineRule="exact"/>
        <w:ind w:firstLine="480" w:firstLineChars="200"/>
        <w:rPr>
          <w:rFonts w:ascii="Times New Roman" w:hAnsi="Times New Roman" w:eastAsia="黑体" w:cs="Times New Roman"/>
          <w:kern w:val="0"/>
          <w:sz w:val="24"/>
        </w:rPr>
      </w:pP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ascii="Times New Roman" w:hAnsi="Times New Roman" w:eastAsia="方正黑体_GBK" w:cs="方正黑体_GBK"/>
          <w:bCs/>
          <w:sz w:val="32"/>
          <w:szCs w:val="32"/>
        </w:rPr>
        <w:t>第一条【目的依据】</w:t>
      </w:r>
      <w:r>
        <w:rPr>
          <w:rFonts w:ascii="Times New Roman" w:hAnsi="Times New Roman" w:eastAsia="黑体" w:cs="Times New Roman"/>
          <w:kern w:val="0"/>
          <w:sz w:val="32"/>
          <w:szCs w:val="32"/>
        </w:rPr>
        <w:t xml:space="preserve">  </w:t>
      </w:r>
      <w:r>
        <w:rPr>
          <w:rFonts w:hint="eastAsia" w:ascii="方正仿宋_GBK" w:hAnsi="仿宋_GB2312" w:eastAsia="方正仿宋_GBK" w:cs="仿宋_GB2312"/>
          <w:kern w:val="0"/>
          <w:sz w:val="32"/>
          <w:szCs w:val="32"/>
        </w:rPr>
        <w:t>为了加强对古树名木的保护，推进生态文明建设，传承中华优秀传统文化，建设人与自然和谐共生的美丽江苏，根据国务院《古树名木保护条例》等有关法律、法规，结合本省实际，制定本办法。</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ascii="Times New Roman" w:hAnsi="Times New Roman" w:eastAsia="方正黑体_GBK" w:cs="方正黑体_GBK"/>
          <w:bCs/>
          <w:sz w:val="32"/>
          <w:szCs w:val="32"/>
        </w:rPr>
        <w:t>第二条【适用范围】</w:t>
      </w:r>
      <w:r>
        <w:rPr>
          <w:rFonts w:ascii="Times New Roman" w:hAnsi="Times New Roman" w:eastAsia="黑体" w:cs="Times New Roman"/>
          <w:kern w:val="0"/>
          <w:sz w:val="32"/>
          <w:szCs w:val="32"/>
        </w:rPr>
        <w:t xml:space="preserve">  </w:t>
      </w:r>
      <w:r>
        <w:rPr>
          <w:rFonts w:hint="eastAsia" w:ascii="方正仿宋_GBK" w:hAnsi="仿宋_GB2312" w:eastAsia="方正仿宋_GBK" w:cs="仿宋_GB2312"/>
          <w:kern w:val="0"/>
          <w:sz w:val="32"/>
          <w:szCs w:val="32"/>
        </w:rPr>
        <w:t>本省行政区域内古树名木的保护管理，适用本办法。</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本办法所称古树，是指树龄在一百年以上的树木，不包括人工培育、以生产木材为主要目的的商品林中的树木。</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本办法所称名木，是指具有重要历史、文化、科学、景观价值或者具有重要纪念意义的树木。</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本办法所称古树群，是指一定区域内相对集中生长，古树个体数量、密度符合国家规定，形成特定生长环境的古树群体。</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ascii="Times New Roman" w:hAnsi="Times New Roman" w:eastAsia="方正黑体_GBK" w:cs="方正黑体_GBK"/>
          <w:bCs/>
          <w:sz w:val="32"/>
          <w:szCs w:val="32"/>
        </w:rPr>
        <w:t>第三条【</w:t>
      </w:r>
      <w:r>
        <w:rPr>
          <w:rFonts w:hint="eastAsia" w:ascii="Times New Roman" w:hAnsi="Times New Roman" w:eastAsia="方正黑体_GBK" w:cs="方正黑体_GBK"/>
          <w:bCs/>
          <w:sz w:val="32"/>
          <w:szCs w:val="32"/>
        </w:rPr>
        <w:t>基本</w:t>
      </w:r>
      <w:r>
        <w:rPr>
          <w:rFonts w:ascii="Times New Roman" w:hAnsi="Times New Roman" w:eastAsia="方正黑体_GBK" w:cs="方正黑体_GBK"/>
          <w:bCs/>
          <w:sz w:val="32"/>
          <w:szCs w:val="32"/>
        </w:rPr>
        <w:t>原则】</w:t>
      </w:r>
      <w:r>
        <w:rPr>
          <w:rFonts w:ascii="Times New Roman" w:hAnsi="Times New Roman" w:eastAsia="黑体" w:cs="Times New Roman"/>
          <w:kern w:val="0"/>
          <w:sz w:val="32"/>
          <w:szCs w:val="32"/>
        </w:rPr>
        <w:t xml:space="preserve">  </w:t>
      </w:r>
      <w:r>
        <w:rPr>
          <w:rFonts w:hint="eastAsia" w:ascii="方正仿宋_GBK" w:hAnsi="仿宋_GB2312" w:eastAsia="方正仿宋_GBK" w:cs="仿宋_GB2312"/>
          <w:kern w:val="0"/>
          <w:sz w:val="32"/>
          <w:szCs w:val="32"/>
        </w:rPr>
        <w:t>古树名木保护管理工作坚持中国共产党的领导，坚持保护第一、科学管护、分级管理、合理利用的原则，构建政府主导、属地负责、部门协同、社会参与的工作机制。</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ascii="Times New Roman" w:hAnsi="Times New Roman" w:eastAsia="方正黑体_GBK" w:cs="方正黑体_GBK"/>
          <w:bCs/>
          <w:sz w:val="32"/>
          <w:szCs w:val="32"/>
        </w:rPr>
        <w:t>第四条【政府职责】</w:t>
      </w:r>
      <w:r>
        <w:rPr>
          <w:rFonts w:ascii="Times New Roman" w:hAnsi="Times New Roman" w:eastAsia="黑体" w:cs="Times New Roman"/>
          <w:kern w:val="0"/>
          <w:sz w:val="32"/>
          <w:szCs w:val="32"/>
        </w:rPr>
        <w:t xml:space="preserve">  </w:t>
      </w:r>
      <w:r>
        <w:rPr>
          <w:rFonts w:hint="eastAsia" w:ascii="方正仿宋_GBK" w:hAnsi="仿宋_GB2312" w:eastAsia="方正仿宋_GBK" w:cs="仿宋_GB2312"/>
          <w:kern w:val="0"/>
          <w:sz w:val="32"/>
          <w:szCs w:val="32"/>
        </w:rPr>
        <w:t>县级以上地方人民政府应当加强对古树名木保护管理工作的组织领导，将古树名木保护管理工作纳入国民经济和社会发展规划，协调解决古树名木保护管理工作中的重大问题。</w:t>
      </w:r>
    </w:p>
    <w:p>
      <w:pPr>
        <w:adjustRightInd w:val="0"/>
        <w:snapToGrid w:val="0"/>
        <w:spacing w:line="560" w:lineRule="exact"/>
        <w:ind w:firstLine="640" w:firstLineChars="200"/>
        <w:rPr>
          <w:rFonts w:ascii="方正仿宋_GBK" w:hAnsi="Times New Roman" w:eastAsia="方正仿宋_GBK" w:cs="Times New Roman"/>
          <w:kern w:val="0"/>
          <w:sz w:val="32"/>
          <w:szCs w:val="32"/>
        </w:rPr>
      </w:pPr>
      <w:r>
        <w:rPr>
          <w:rFonts w:hint="eastAsia" w:ascii="方正仿宋_GBK" w:hAnsi="仿宋_GB2312" w:eastAsia="方正仿宋_GBK" w:cs="仿宋_GB2312"/>
          <w:kern w:val="0"/>
          <w:sz w:val="32"/>
          <w:szCs w:val="32"/>
        </w:rPr>
        <w:t>乡镇人民政府、街道办事处以及村民委员会、居民委员会应当协助做好古树名木保护管理相关工作。</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ascii="Times New Roman" w:hAnsi="Times New Roman" w:eastAsia="方正黑体_GBK" w:cs="方正黑体_GBK"/>
          <w:bCs/>
          <w:sz w:val="32"/>
          <w:szCs w:val="32"/>
        </w:rPr>
        <w:t>第五条【部门职责】</w:t>
      </w:r>
      <w:r>
        <w:rPr>
          <w:rFonts w:ascii="Times New Roman" w:hAnsi="Times New Roman" w:eastAsia="黑体" w:cs="Times New Roman"/>
          <w:kern w:val="0"/>
          <w:sz w:val="32"/>
          <w:szCs w:val="32"/>
        </w:rPr>
        <w:t xml:space="preserve">  </w:t>
      </w:r>
      <w:r>
        <w:rPr>
          <w:rFonts w:hint="eastAsia" w:ascii="方正仿宋_GBK" w:hAnsi="仿宋_GB2312" w:eastAsia="方正仿宋_GBK" w:cs="仿宋_GB2312"/>
          <w:kern w:val="0"/>
          <w:sz w:val="32"/>
          <w:szCs w:val="32"/>
        </w:rPr>
        <w:t>省绿化委员会负责组织领导全省古树名木保护管理工作，建立健全协调工作机制。县级以上地方人民政府林业主管部门、城市绿化主管部门是古树名木主管部门（以下统称古树名木主管部门）。林业主管部门负责城区范围外古树名木的保护管理，城市绿化主管部门负责城区范围内古树名木的保护管理。</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民族宗教事务、公安、财政、自然资源、生态环境、住房城乡建设、交通运输、水利、农业农村、文化和旅游、城市管理、审计等有关部门，在各自的职责范围内负责古树名木保护管理相关工作。</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ascii="Times New Roman" w:hAnsi="Times New Roman" w:eastAsia="方正黑体_GBK" w:cs="方正黑体_GBK"/>
          <w:bCs/>
          <w:sz w:val="32"/>
          <w:szCs w:val="32"/>
        </w:rPr>
        <w:t>第</w:t>
      </w:r>
      <w:r>
        <w:rPr>
          <w:rFonts w:hint="eastAsia" w:ascii="Times New Roman" w:hAnsi="Times New Roman" w:eastAsia="方正黑体_GBK" w:cs="方正黑体_GBK"/>
          <w:bCs/>
          <w:sz w:val="32"/>
          <w:szCs w:val="32"/>
        </w:rPr>
        <w:t>六</w:t>
      </w:r>
      <w:r>
        <w:rPr>
          <w:rFonts w:ascii="Times New Roman" w:hAnsi="Times New Roman" w:eastAsia="方正黑体_GBK" w:cs="方正黑体_GBK"/>
          <w:bCs/>
          <w:sz w:val="32"/>
          <w:szCs w:val="32"/>
        </w:rPr>
        <w:t>条【</w:t>
      </w:r>
      <w:r>
        <w:rPr>
          <w:rFonts w:hint="eastAsia" w:ascii="Times New Roman" w:hAnsi="Times New Roman" w:eastAsia="方正黑体_GBK" w:cs="方正黑体_GBK"/>
          <w:bCs/>
          <w:sz w:val="32"/>
          <w:szCs w:val="32"/>
        </w:rPr>
        <w:t>科研推广、</w:t>
      </w:r>
      <w:r>
        <w:rPr>
          <w:rFonts w:ascii="Times New Roman" w:hAnsi="Times New Roman" w:eastAsia="方正黑体_GBK" w:cs="方正黑体_GBK"/>
          <w:bCs/>
          <w:sz w:val="32"/>
          <w:szCs w:val="32"/>
        </w:rPr>
        <w:t>宣传</w:t>
      </w:r>
      <w:r>
        <w:rPr>
          <w:rFonts w:hint="eastAsia" w:ascii="Times New Roman" w:hAnsi="Times New Roman" w:eastAsia="方正黑体_GBK" w:cs="方正黑体_GBK"/>
          <w:bCs/>
          <w:sz w:val="32"/>
          <w:szCs w:val="32"/>
        </w:rPr>
        <w:t>教育</w:t>
      </w:r>
      <w:r>
        <w:rPr>
          <w:rFonts w:ascii="Times New Roman" w:hAnsi="Times New Roman" w:eastAsia="方正黑体_GBK" w:cs="方正黑体_GBK"/>
          <w:bCs/>
          <w:sz w:val="32"/>
          <w:szCs w:val="32"/>
        </w:rPr>
        <w:t>】</w:t>
      </w:r>
      <w:r>
        <w:rPr>
          <w:rFonts w:ascii="Times New Roman" w:hAnsi="Times New Roman" w:eastAsia="黑体" w:cs="Times New Roman"/>
          <w:kern w:val="0"/>
          <w:sz w:val="32"/>
          <w:szCs w:val="32"/>
        </w:rPr>
        <w:t xml:space="preserve">  </w:t>
      </w:r>
      <w:r>
        <w:rPr>
          <w:rFonts w:hint="eastAsia" w:ascii="方正仿宋_GBK" w:hAnsi="仿宋_GB2312" w:eastAsia="方正仿宋_GBK" w:cs="仿宋_GB2312"/>
          <w:kern w:val="0"/>
          <w:sz w:val="32"/>
          <w:szCs w:val="32"/>
        </w:rPr>
        <w:t>鼓励和支持古树名木保护的科学研究，推广应用先进技术，提高古树名木保护管理水平。</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县级以上地方人民政府及其有关部门应当采取多种形式，组织开展古树名木保护宣传教育，普及古树名木保护的法律法规和科学知识，传承古树名木文化，增强全社会的古树名木保护意识，营造保护古树名木的良好社会氛围。</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ascii="Times New Roman" w:hAnsi="Times New Roman" w:eastAsia="方正黑体_GBK" w:cs="方正黑体_GBK"/>
          <w:bCs/>
          <w:sz w:val="32"/>
          <w:szCs w:val="32"/>
        </w:rPr>
        <w:t>第</w:t>
      </w:r>
      <w:r>
        <w:rPr>
          <w:rFonts w:hint="eastAsia" w:ascii="Times New Roman" w:hAnsi="Times New Roman" w:eastAsia="方正黑体_GBK" w:cs="方正黑体_GBK"/>
          <w:bCs/>
          <w:sz w:val="32"/>
          <w:szCs w:val="32"/>
        </w:rPr>
        <w:t>七</w:t>
      </w:r>
      <w:r>
        <w:rPr>
          <w:rFonts w:ascii="Times New Roman" w:hAnsi="Times New Roman" w:eastAsia="方正黑体_GBK" w:cs="方正黑体_GBK"/>
          <w:bCs/>
          <w:sz w:val="32"/>
          <w:szCs w:val="32"/>
        </w:rPr>
        <w:t>条【社会参与】</w:t>
      </w:r>
      <w:r>
        <w:rPr>
          <w:rFonts w:ascii="Times New Roman" w:hAnsi="Times New Roman" w:eastAsia="黑体" w:cs="Times New Roman"/>
          <w:kern w:val="0"/>
          <w:sz w:val="32"/>
          <w:szCs w:val="32"/>
        </w:rPr>
        <w:t xml:space="preserve">  </w:t>
      </w:r>
      <w:r>
        <w:rPr>
          <w:rFonts w:hint="eastAsia" w:ascii="方正仿宋_GBK" w:hAnsi="仿宋_GB2312" w:eastAsia="方正仿宋_GBK" w:cs="仿宋_GB2312"/>
          <w:kern w:val="0"/>
          <w:sz w:val="32"/>
          <w:szCs w:val="32"/>
        </w:rPr>
        <w:t>鼓励单位、个人通过捐赠、认养、科普教育、志愿服务等多种形式参与古树名木保护活动。捐赠、认养古树名木的单位或者个人，可以在一定期限内标注、署名，按照有关规定折抵义务植树任务。</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鼓励单位、个人举报、制止损害古树名木及其生长环境的行为。</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对在古树名木保护管理工作中做出突出贡献的单位、个人，按照国家和省有关规定给予表彰和奖励。</w:t>
      </w:r>
    </w:p>
    <w:p>
      <w:pPr>
        <w:adjustRightInd w:val="0"/>
        <w:snapToGrid w:val="0"/>
        <w:spacing w:line="560" w:lineRule="exact"/>
        <w:ind w:firstLine="640" w:firstLineChars="200"/>
        <w:rPr>
          <w:rFonts w:ascii="Times New Roman" w:hAnsi="Times New Roman" w:eastAsia="黑体" w:cs="Times New Roman"/>
          <w:kern w:val="0"/>
          <w:sz w:val="32"/>
          <w:szCs w:val="32"/>
        </w:rPr>
      </w:pPr>
    </w:p>
    <w:p>
      <w:pPr>
        <w:spacing w:line="560" w:lineRule="exact"/>
        <w:jc w:val="center"/>
        <w:rPr>
          <w:rFonts w:ascii="Times New Roman" w:hAnsi="Times New Roman" w:eastAsia="方正黑体_GBK" w:cs="方正黑体_GBK"/>
          <w:bCs/>
          <w:sz w:val="32"/>
          <w:szCs w:val="32"/>
        </w:rPr>
      </w:pPr>
      <w:r>
        <w:rPr>
          <w:rFonts w:hint="eastAsia" w:ascii="Times New Roman" w:hAnsi="Times New Roman" w:eastAsia="方正黑体_GBK" w:cs="方正黑体_GBK"/>
          <w:bCs/>
          <w:sz w:val="32"/>
          <w:szCs w:val="32"/>
        </w:rPr>
        <w:t>第二章 保  护</w:t>
      </w:r>
    </w:p>
    <w:p>
      <w:pPr>
        <w:spacing w:line="560" w:lineRule="exact"/>
        <w:jc w:val="center"/>
        <w:rPr>
          <w:rFonts w:ascii="Times New Roman" w:hAnsi="Times New Roman" w:eastAsia="方正黑体_GBK" w:cs="方正黑体_GBK"/>
          <w:bCs/>
          <w:sz w:val="32"/>
          <w:szCs w:val="32"/>
        </w:rPr>
      </w:pP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ascii="Times New Roman" w:hAnsi="Times New Roman" w:eastAsia="方正黑体_GBK" w:cs="方正黑体_GBK"/>
          <w:bCs/>
          <w:sz w:val="32"/>
          <w:szCs w:val="32"/>
        </w:rPr>
        <w:t>第</w:t>
      </w:r>
      <w:r>
        <w:rPr>
          <w:rFonts w:hint="eastAsia" w:ascii="Times New Roman" w:hAnsi="Times New Roman" w:eastAsia="方正黑体_GBK" w:cs="方正黑体_GBK"/>
          <w:bCs/>
          <w:sz w:val="32"/>
          <w:szCs w:val="32"/>
        </w:rPr>
        <w:t>八</w:t>
      </w:r>
      <w:r>
        <w:rPr>
          <w:rFonts w:ascii="Times New Roman" w:hAnsi="Times New Roman" w:eastAsia="方正黑体_GBK" w:cs="方正黑体_GBK"/>
          <w:bCs/>
          <w:sz w:val="32"/>
          <w:szCs w:val="32"/>
        </w:rPr>
        <w:t>条【</w:t>
      </w:r>
      <w:r>
        <w:rPr>
          <w:rFonts w:hint="eastAsia" w:ascii="Times New Roman" w:hAnsi="Times New Roman" w:eastAsia="方正黑体_GBK" w:cs="方正黑体_GBK"/>
          <w:bCs/>
          <w:sz w:val="32"/>
          <w:szCs w:val="32"/>
        </w:rPr>
        <w:t>分级保护、后备资源</w:t>
      </w:r>
      <w:r>
        <w:rPr>
          <w:rFonts w:ascii="Times New Roman" w:hAnsi="Times New Roman" w:eastAsia="方正黑体_GBK" w:cs="方正黑体_GBK"/>
          <w:bCs/>
          <w:sz w:val="32"/>
          <w:szCs w:val="32"/>
        </w:rPr>
        <w:t>】</w:t>
      </w:r>
      <w:r>
        <w:rPr>
          <w:rFonts w:ascii="Times New Roman" w:hAnsi="Times New Roman" w:eastAsia="黑体" w:cs="Times New Roman"/>
          <w:kern w:val="0"/>
          <w:sz w:val="32"/>
          <w:szCs w:val="32"/>
        </w:rPr>
        <w:t xml:space="preserve">  </w:t>
      </w:r>
      <w:r>
        <w:rPr>
          <w:rFonts w:hint="eastAsia" w:ascii="方正仿宋_GBK" w:hAnsi="仿宋_GB2312" w:eastAsia="方正仿宋_GBK" w:cs="仿宋_GB2312"/>
          <w:kern w:val="0"/>
          <w:sz w:val="32"/>
          <w:szCs w:val="32"/>
        </w:rPr>
        <w:t>对古树按照下列标准实行分级保护：</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（一）树龄五百年以上的古树，实行一级保护；</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（二）树龄三百年以上不满五百年的古树，实行二级保护；</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（三）树龄一百年以上不满三百年的古树，实行三级保护。</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名木的认定按照国家有关规定执行。对名木均实行一级保护，不受树龄限制。</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对古树群实行整体保护，并按照涉及古树名木最高等级保护。</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树龄八十年以上不满一百年的树木，作为古树后备资源，由县（市、区）古树名木主管部门建立档案。</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ascii="Times New Roman" w:hAnsi="Times New Roman" w:eastAsia="方正黑体_GBK" w:cs="方正黑体_GBK"/>
          <w:bCs/>
          <w:sz w:val="32"/>
          <w:szCs w:val="32"/>
        </w:rPr>
        <w:t>第</w:t>
      </w:r>
      <w:r>
        <w:rPr>
          <w:rFonts w:hint="eastAsia" w:ascii="Times New Roman" w:hAnsi="Times New Roman" w:eastAsia="方正黑体_GBK" w:cs="方正黑体_GBK"/>
          <w:bCs/>
          <w:sz w:val="32"/>
          <w:szCs w:val="32"/>
        </w:rPr>
        <w:t>九</w:t>
      </w:r>
      <w:r>
        <w:rPr>
          <w:rFonts w:ascii="Times New Roman" w:hAnsi="Times New Roman" w:eastAsia="方正黑体_GBK" w:cs="方正黑体_GBK"/>
          <w:bCs/>
          <w:sz w:val="32"/>
          <w:szCs w:val="32"/>
        </w:rPr>
        <w:t>条【</w:t>
      </w:r>
      <w:r>
        <w:rPr>
          <w:rFonts w:hint="eastAsia" w:ascii="Times New Roman" w:hAnsi="Times New Roman" w:eastAsia="方正黑体_GBK" w:cs="方正黑体_GBK"/>
          <w:bCs/>
          <w:sz w:val="32"/>
          <w:szCs w:val="32"/>
        </w:rPr>
        <w:t>资源</w:t>
      </w:r>
      <w:r>
        <w:rPr>
          <w:rFonts w:ascii="Times New Roman" w:hAnsi="Times New Roman" w:eastAsia="方正黑体_GBK" w:cs="方正黑体_GBK"/>
          <w:bCs/>
          <w:sz w:val="32"/>
          <w:szCs w:val="32"/>
        </w:rPr>
        <w:t>普查】</w:t>
      </w:r>
      <w:r>
        <w:rPr>
          <w:rFonts w:ascii="Times New Roman" w:hAnsi="Times New Roman" w:eastAsia="黑体" w:cs="Times New Roman"/>
          <w:kern w:val="0"/>
          <w:sz w:val="32"/>
          <w:szCs w:val="32"/>
        </w:rPr>
        <w:t xml:space="preserve">  </w:t>
      </w:r>
      <w:r>
        <w:rPr>
          <w:rFonts w:hint="eastAsia" w:ascii="方正仿宋_GBK" w:hAnsi="仿宋_GB2312" w:eastAsia="方正仿宋_GBK" w:cs="仿宋_GB2312"/>
          <w:kern w:val="0"/>
          <w:sz w:val="32"/>
          <w:szCs w:val="32"/>
        </w:rPr>
        <w:t>省古树名木主管部门应当根据全国绿化委员会的要求，每十年组织开展一次古树名木资源普查。普查间隔期内，古树名木主管部门每五年至少开展一次古树名木资源补充调查。</w:t>
      </w:r>
    </w:p>
    <w:p>
      <w:pPr>
        <w:adjustRightInd w:val="0"/>
        <w:snapToGrid w:val="0"/>
        <w:spacing w:line="560" w:lineRule="exact"/>
        <w:ind w:firstLine="640" w:firstLineChars="200"/>
        <w:rPr>
          <w:rFonts w:ascii="方正仿宋_GBK" w:hAnsi="Times New Roman" w:eastAsia="方正仿宋_GBK" w:cs="Times New Roman"/>
          <w:kern w:val="0"/>
          <w:sz w:val="32"/>
          <w:szCs w:val="32"/>
        </w:rPr>
      </w:pPr>
      <w:r>
        <w:rPr>
          <w:rFonts w:hint="eastAsia" w:ascii="方正仿宋_GBK" w:hAnsi="仿宋_GB2312" w:eastAsia="方正仿宋_GBK" w:cs="仿宋_GB2312"/>
          <w:kern w:val="0"/>
          <w:sz w:val="32"/>
          <w:szCs w:val="32"/>
        </w:rPr>
        <w:t>鼓励单位和个人提供古树名木资源信息，县（市、区）古树名木主管部门接到信息后，及时开展调查，必要时组织鉴定。古树名木主管部门应当公布接收信息的途径和方式。</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ascii="Times New Roman" w:hAnsi="Times New Roman" w:eastAsia="方正黑体_GBK" w:cs="方正黑体_GBK"/>
          <w:bCs/>
          <w:sz w:val="32"/>
          <w:szCs w:val="32"/>
        </w:rPr>
        <w:t>第十条【认定公布】</w:t>
      </w:r>
      <w:r>
        <w:rPr>
          <w:rFonts w:ascii="Times New Roman" w:hAnsi="Times New Roman" w:eastAsia="黑体" w:cs="Times New Roman"/>
          <w:kern w:val="0"/>
          <w:sz w:val="32"/>
          <w:szCs w:val="32"/>
        </w:rPr>
        <w:t xml:space="preserve">  </w:t>
      </w:r>
      <w:r>
        <w:rPr>
          <w:rFonts w:hint="eastAsia" w:ascii="方正仿宋_GBK" w:hAnsi="仿宋_GB2312" w:eastAsia="方正仿宋_GBK" w:cs="仿宋_GB2312"/>
          <w:kern w:val="0"/>
          <w:sz w:val="32"/>
          <w:szCs w:val="32"/>
        </w:rPr>
        <w:t>古树名木主管部门应当按照有关规定认定古树名木，报本级人民政府批准后依法公布。古树名木的认定和公布实行动态管理。</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古树名木主管部门应当对下列情形及时开展认定工作：</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（一）在资源普查和补充调查中发现古树名木资源的；</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（二）收到单位或者个人提供的古树名木资源信息，拟认定为古树名木的；</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（三）实行三级保护古树达到实行二级保护古树的树龄标准、实行二级保护古树达到实行一级保护古树的树龄标准的；</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（四）古树后备资源达到实行三级保护古树的树龄标准的；</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（五）其他需要进行认定的。</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拟认定为古树名木的，由认定古树名木的主管部门在树木所在的村（社区）或者单位范围内进行公示，公示期不少于七个工作日。</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Times New Roman" w:hAnsi="Times New Roman" w:eastAsia="方正黑体_GBK" w:cs="方正黑体_GBK"/>
          <w:bCs/>
          <w:sz w:val="32"/>
          <w:szCs w:val="32"/>
        </w:rPr>
        <w:t xml:space="preserve">第十一条【保护范围划定】 </w:t>
      </w:r>
      <w:r>
        <w:rPr>
          <w:rFonts w:hint="eastAsia" w:ascii="Times New Roman" w:hAnsi="Times New Roman" w:eastAsia="方正仿宋_GBK" w:cs="Times New Roman"/>
          <w:b/>
          <w:bCs/>
          <w:kern w:val="0"/>
          <w:sz w:val="32"/>
          <w:szCs w:val="32"/>
        </w:rPr>
        <w:t xml:space="preserve"> </w:t>
      </w:r>
      <w:r>
        <w:rPr>
          <w:rFonts w:hint="eastAsia" w:ascii="方正仿宋_GBK" w:hAnsi="仿宋_GB2312" w:eastAsia="方正仿宋_GBK" w:cs="仿宋_GB2312"/>
          <w:kern w:val="0"/>
          <w:sz w:val="32"/>
          <w:szCs w:val="32"/>
        </w:rPr>
        <w:t>县（市、区）人民政府应当按照国务院古树名木主管部门的规定，划定古树名木的保护范围，向社会公布。古树名木保护范围划定后，应当及时纳入国土空间规划实施监督信息系统。</w:t>
      </w:r>
    </w:p>
    <w:p>
      <w:pPr>
        <w:adjustRightInd w:val="0"/>
        <w:snapToGrid w:val="0"/>
        <w:spacing w:line="560" w:lineRule="exact"/>
        <w:ind w:firstLine="640" w:firstLineChars="200"/>
        <w:rPr>
          <w:rFonts w:ascii="仿宋_GB2312" w:hAnsi="仿宋_GB2312" w:eastAsia="仿宋_GB2312" w:cs="仿宋_GB2312"/>
          <w:kern w:val="0"/>
          <w:sz w:val="32"/>
          <w:szCs w:val="32"/>
        </w:rPr>
      </w:pPr>
      <w:r>
        <w:rPr>
          <w:rFonts w:ascii="Times New Roman" w:hAnsi="Times New Roman" w:eastAsia="方正黑体_GBK" w:cs="方正黑体_GBK"/>
          <w:bCs/>
          <w:sz w:val="32"/>
          <w:szCs w:val="32"/>
        </w:rPr>
        <w:t>第十</w:t>
      </w:r>
      <w:r>
        <w:rPr>
          <w:rFonts w:hint="eastAsia" w:ascii="Times New Roman" w:hAnsi="Times New Roman" w:eastAsia="方正黑体_GBK" w:cs="方正黑体_GBK"/>
          <w:bCs/>
          <w:sz w:val="32"/>
          <w:szCs w:val="32"/>
        </w:rPr>
        <w:t>二</w:t>
      </w:r>
      <w:r>
        <w:rPr>
          <w:rFonts w:ascii="Times New Roman" w:hAnsi="Times New Roman" w:eastAsia="方正黑体_GBK" w:cs="方正黑体_GBK"/>
          <w:bCs/>
          <w:sz w:val="32"/>
          <w:szCs w:val="32"/>
        </w:rPr>
        <w:t>条【档案</w:t>
      </w:r>
      <w:r>
        <w:rPr>
          <w:rFonts w:hint="eastAsia" w:ascii="Times New Roman" w:hAnsi="Times New Roman" w:eastAsia="方正黑体_GBK" w:cs="方正黑体_GBK"/>
          <w:bCs/>
          <w:sz w:val="32"/>
          <w:szCs w:val="32"/>
        </w:rPr>
        <w:t>管理</w:t>
      </w:r>
      <w:r>
        <w:rPr>
          <w:rFonts w:ascii="Times New Roman" w:hAnsi="Times New Roman" w:eastAsia="方正黑体_GBK" w:cs="方正黑体_GBK"/>
          <w:bCs/>
          <w:sz w:val="32"/>
          <w:szCs w:val="32"/>
        </w:rPr>
        <w:t>】</w:t>
      </w:r>
      <w:r>
        <w:rPr>
          <w:rFonts w:hint="eastAsia" w:ascii="Times New Roman" w:hAnsi="Times New Roman" w:eastAsia="黑体" w:cs="Times New Roman"/>
          <w:kern w:val="0"/>
          <w:sz w:val="32"/>
          <w:szCs w:val="32"/>
        </w:rPr>
        <w:t xml:space="preserve"> </w:t>
      </w:r>
      <w:r>
        <w:rPr>
          <w:rFonts w:ascii="Times New Roman" w:hAnsi="Times New Roman" w:eastAsia="黑体" w:cs="Times New Roman"/>
          <w:kern w:val="0"/>
          <w:sz w:val="32"/>
          <w:szCs w:val="32"/>
        </w:rPr>
        <w:t xml:space="preserve"> </w:t>
      </w:r>
      <w:r>
        <w:rPr>
          <w:rFonts w:hint="eastAsia" w:ascii="仿宋_GB2312" w:hAnsi="仿宋_GB2312" w:eastAsia="仿宋_GB2312" w:cs="仿宋_GB2312"/>
          <w:kern w:val="0"/>
          <w:sz w:val="32"/>
          <w:szCs w:val="32"/>
        </w:rPr>
        <w:t>县（市、区）</w:t>
      </w:r>
      <w:r>
        <w:rPr>
          <w:rFonts w:ascii="仿宋_GB2312" w:hAnsi="仿宋_GB2312" w:eastAsia="仿宋_GB2312" w:cs="仿宋_GB2312"/>
          <w:kern w:val="0"/>
          <w:sz w:val="32"/>
          <w:szCs w:val="32"/>
        </w:rPr>
        <w:t>古树名木主管部门应当按照一树一档</w:t>
      </w:r>
      <w:r>
        <w:rPr>
          <w:rFonts w:hint="eastAsia" w:ascii="仿宋_GB2312" w:hAnsi="仿宋_GB2312" w:eastAsia="仿宋_GB2312" w:cs="仿宋_GB2312"/>
          <w:kern w:val="0"/>
          <w:sz w:val="32"/>
          <w:szCs w:val="32"/>
        </w:rPr>
        <w:t>的</w:t>
      </w:r>
      <w:r>
        <w:rPr>
          <w:rFonts w:ascii="仿宋_GB2312" w:hAnsi="仿宋_GB2312" w:eastAsia="仿宋_GB2312" w:cs="仿宋_GB2312"/>
          <w:kern w:val="0"/>
          <w:sz w:val="32"/>
          <w:szCs w:val="32"/>
        </w:rPr>
        <w:t>要求，建立古树名木档案，</w:t>
      </w:r>
      <w:r>
        <w:rPr>
          <w:rFonts w:hint="eastAsia" w:ascii="仿宋_GB2312" w:hAnsi="仿宋_GB2312" w:eastAsia="仿宋_GB2312" w:cs="仿宋_GB2312"/>
          <w:kern w:val="0"/>
          <w:sz w:val="32"/>
          <w:szCs w:val="32"/>
        </w:rPr>
        <w:t>实行信息化管理并动态更新。</w:t>
      </w:r>
      <w:r>
        <w:rPr>
          <w:rFonts w:ascii="仿宋_GB2312" w:hAnsi="仿宋_GB2312" w:eastAsia="仿宋_GB2312" w:cs="仿宋_GB2312"/>
          <w:kern w:val="0"/>
          <w:sz w:val="32"/>
          <w:szCs w:val="32"/>
        </w:rPr>
        <w:t>档案包括</w:t>
      </w:r>
      <w:r>
        <w:rPr>
          <w:rFonts w:hint="eastAsia" w:ascii="仿宋_GB2312" w:hAnsi="仿宋_GB2312" w:eastAsia="仿宋_GB2312" w:cs="仿宋_GB2312"/>
          <w:kern w:val="0"/>
          <w:sz w:val="32"/>
          <w:szCs w:val="32"/>
        </w:rPr>
        <w:t>树木</w:t>
      </w:r>
      <w:r>
        <w:rPr>
          <w:rFonts w:ascii="仿宋_GB2312" w:hAnsi="仿宋_GB2312" w:eastAsia="仿宋_GB2312" w:cs="仿宋_GB2312"/>
          <w:kern w:val="0"/>
          <w:sz w:val="32"/>
          <w:szCs w:val="32"/>
        </w:rPr>
        <w:t>基本信息、</w:t>
      </w:r>
      <w:r>
        <w:rPr>
          <w:rFonts w:hint="eastAsia" w:ascii="仿宋_GB2312" w:hAnsi="仿宋_GB2312" w:eastAsia="仿宋_GB2312" w:cs="仿宋_GB2312"/>
          <w:kern w:val="0"/>
          <w:sz w:val="32"/>
          <w:szCs w:val="32"/>
        </w:rPr>
        <w:t>编号、位置、鉴定、</w:t>
      </w:r>
      <w:r>
        <w:rPr>
          <w:rFonts w:ascii="仿宋_GB2312" w:hAnsi="仿宋_GB2312" w:eastAsia="仿宋_GB2312" w:cs="仿宋_GB2312"/>
          <w:kern w:val="0"/>
          <w:sz w:val="32"/>
          <w:szCs w:val="32"/>
        </w:rPr>
        <w:t>认定</w:t>
      </w:r>
      <w:r>
        <w:rPr>
          <w:rFonts w:hint="eastAsia" w:ascii="仿宋_GB2312" w:hAnsi="仿宋_GB2312" w:eastAsia="仿宋_GB2312" w:cs="仿宋_GB2312"/>
          <w:kern w:val="0"/>
          <w:sz w:val="32"/>
          <w:szCs w:val="32"/>
        </w:rPr>
        <w:t>、批准</w:t>
      </w:r>
      <w:r>
        <w:rPr>
          <w:rFonts w:ascii="仿宋_GB2312" w:hAnsi="仿宋_GB2312" w:eastAsia="仿宋_GB2312" w:cs="仿宋_GB2312"/>
          <w:kern w:val="0"/>
          <w:sz w:val="32"/>
          <w:szCs w:val="32"/>
        </w:rPr>
        <w:t>、日常养护协议、</w:t>
      </w:r>
      <w:r>
        <w:rPr>
          <w:rFonts w:hint="eastAsia" w:ascii="仿宋_GB2312" w:hAnsi="仿宋_GB2312" w:eastAsia="仿宋_GB2312" w:cs="仿宋_GB2312"/>
          <w:kern w:val="0"/>
          <w:sz w:val="32"/>
          <w:szCs w:val="32"/>
        </w:rPr>
        <w:t>保护标志设立</w:t>
      </w:r>
      <w:r>
        <w:rPr>
          <w:rFonts w:ascii="仿宋_GB2312" w:hAnsi="仿宋_GB2312" w:eastAsia="仿宋_GB2312" w:cs="仿宋_GB2312"/>
          <w:kern w:val="0"/>
          <w:sz w:val="32"/>
          <w:szCs w:val="32"/>
        </w:rPr>
        <w:t>、管养记录、</w:t>
      </w:r>
      <w:r>
        <w:rPr>
          <w:rFonts w:hint="eastAsia" w:ascii="仿宋_GB2312" w:hAnsi="仿宋_GB2312" w:eastAsia="仿宋_GB2312" w:cs="仿宋_GB2312"/>
          <w:kern w:val="0"/>
          <w:sz w:val="32"/>
          <w:szCs w:val="32"/>
        </w:rPr>
        <w:t>保护范围</w:t>
      </w:r>
      <w:r>
        <w:rPr>
          <w:rFonts w:ascii="仿宋_GB2312" w:hAnsi="仿宋_GB2312" w:eastAsia="仿宋_GB2312" w:cs="仿宋_GB2312"/>
          <w:kern w:val="0"/>
          <w:sz w:val="32"/>
          <w:szCs w:val="32"/>
        </w:rPr>
        <w:t>、</w:t>
      </w:r>
      <w:r>
        <w:rPr>
          <w:rFonts w:hint="eastAsia" w:ascii="仿宋_GB2312" w:hAnsi="仿宋_GB2312" w:eastAsia="仿宋_GB2312" w:cs="仿宋_GB2312"/>
          <w:kern w:val="0"/>
          <w:sz w:val="32"/>
          <w:szCs w:val="32"/>
        </w:rPr>
        <w:t>生长环境、历史文化价值</w:t>
      </w:r>
      <w:r>
        <w:rPr>
          <w:rFonts w:ascii="仿宋_GB2312" w:hAnsi="仿宋_GB2312" w:eastAsia="仿宋_GB2312" w:cs="仿宋_GB2312"/>
          <w:kern w:val="0"/>
          <w:sz w:val="32"/>
          <w:szCs w:val="32"/>
        </w:rPr>
        <w:t>等图文资料</w:t>
      </w:r>
      <w:r>
        <w:rPr>
          <w:rFonts w:hint="eastAsia" w:ascii="仿宋_GB2312" w:hAnsi="仿宋_GB2312" w:eastAsia="仿宋_GB2312" w:cs="仿宋_GB2312"/>
          <w:kern w:val="0"/>
          <w:sz w:val="32"/>
          <w:szCs w:val="32"/>
        </w:rPr>
        <w:t>内容</w:t>
      </w:r>
      <w:r>
        <w:rPr>
          <w:rFonts w:ascii="仿宋_GB2312" w:hAnsi="仿宋_GB2312" w:eastAsia="仿宋_GB2312" w:cs="仿宋_GB2312"/>
          <w:kern w:val="0"/>
          <w:sz w:val="32"/>
          <w:szCs w:val="32"/>
        </w:rPr>
        <w:t>。</w:t>
      </w:r>
      <w:r>
        <w:rPr>
          <w:rFonts w:hint="eastAsia" w:ascii="仿宋_GB2312" w:hAnsi="仿宋_GB2312" w:eastAsia="仿宋_GB2312" w:cs="仿宋_GB2312"/>
          <w:kern w:val="0"/>
          <w:sz w:val="32"/>
          <w:szCs w:val="32"/>
        </w:rPr>
        <w:t>树木基本信息应当包括中文名、</w:t>
      </w:r>
      <w:r>
        <w:rPr>
          <w:rFonts w:ascii="仿宋_GB2312" w:hAnsi="仿宋_GB2312" w:eastAsia="仿宋_GB2312" w:cs="仿宋_GB2312"/>
          <w:kern w:val="0"/>
          <w:sz w:val="32"/>
          <w:szCs w:val="32"/>
        </w:rPr>
        <w:t>学名、</w:t>
      </w:r>
      <w:r>
        <w:rPr>
          <w:rFonts w:hint="eastAsia" w:ascii="仿宋_GB2312" w:hAnsi="仿宋_GB2312" w:eastAsia="仿宋_GB2312" w:cs="仿宋_GB2312"/>
          <w:kern w:val="0"/>
          <w:sz w:val="32"/>
          <w:szCs w:val="32"/>
        </w:rPr>
        <w:t>科属、树龄、规格、特征等。</w:t>
      </w:r>
    </w:p>
    <w:p>
      <w:pPr>
        <w:adjustRightInd w:val="0"/>
        <w:snapToGrid w:val="0"/>
        <w:spacing w:line="560" w:lineRule="exact"/>
        <w:ind w:firstLine="640" w:firstLineChars="200"/>
        <w:rPr>
          <w:rFonts w:ascii="仿宋_GB2312" w:hAnsi="仿宋_GB2312" w:eastAsia="仿宋_GB2312" w:cs="仿宋_GB2312"/>
          <w:kern w:val="0"/>
          <w:sz w:val="32"/>
          <w:szCs w:val="32"/>
        </w:rPr>
      </w:pPr>
      <w:r>
        <w:rPr>
          <w:rFonts w:ascii="仿宋_GB2312" w:hAnsi="仿宋_GB2312" w:eastAsia="仿宋_GB2312" w:cs="仿宋_GB2312"/>
          <w:kern w:val="0"/>
          <w:sz w:val="32"/>
          <w:szCs w:val="32"/>
        </w:rPr>
        <w:t>古树名木主管部门应当</w:t>
      </w:r>
      <w:r>
        <w:rPr>
          <w:rFonts w:hint="eastAsia" w:ascii="仿宋_GB2312" w:hAnsi="仿宋_GB2312" w:eastAsia="仿宋_GB2312" w:cs="仿宋_GB2312"/>
          <w:kern w:val="0"/>
          <w:sz w:val="32"/>
          <w:szCs w:val="32"/>
        </w:rPr>
        <w:t>根据古树名木档案信息建立古树名木名录并动态更新。</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ascii="Times New Roman" w:hAnsi="Times New Roman" w:eastAsia="方正黑体_GBK" w:cs="方正黑体_GBK"/>
          <w:bCs/>
          <w:sz w:val="32"/>
          <w:szCs w:val="32"/>
        </w:rPr>
        <w:t>第十</w:t>
      </w:r>
      <w:r>
        <w:rPr>
          <w:rFonts w:hint="eastAsia" w:ascii="Times New Roman" w:hAnsi="Times New Roman" w:eastAsia="方正黑体_GBK" w:cs="方正黑体_GBK"/>
          <w:bCs/>
          <w:sz w:val="32"/>
          <w:szCs w:val="32"/>
        </w:rPr>
        <w:t>三</w:t>
      </w:r>
      <w:r>
        <w:rPr>
          <w:rFonts w:ascii="Times New Roman" w:hAnsi="Times New Roman" w:eastAsia="方正黑体_GBK" w:cs="方正黑体_GBK"/>
          <w:bCs/>
          <w:sz w:val="32"/>
          <w:szCs w:val="32"/>
        </w:rPr>
        <w:t>条【保护标志】</w:t>
      </w:r>
      <w:r>
        <w:rPr>
          <w:rFonts w:ascii="Times New Roman" w:hAnsi="Times New Roman" w:eastAsia="黑体" w:cs="Times New Roman"/>
          <w:kern w:val="0"/>
          <w:sz w:val="32"/>
          <w:szCs w:val="32"/>
        </w:rPr>
        <w:t xml:space="preserve"> </w:t>
      </w:r>
      <w:r>
        <w:rPr>
          <w:rFonts w:hint="eastAsia" w:ascii="方正仿宋_GBK" w:hAnsi="Times New Roman" w:eastAsia="方正仿宋_GBK" w:cs="Times New Roman"/>
          <w:kern w:val="0"/>
          <w:sz w:val="32"/>
          <w:szCs w:val="32"/>
        </w:rPr>
        <w:t xml:space="preserve"> </w:t>
      </w:r>
      <w:r>
        <w:rPr>
          <w:rFonts w:hint="eastAsia" w:ascii="方正仿宋_GBK" w:hAnsi="仿宋_GB2312" w:eastAsia="方正仿宋_GBK" w:cs="仿宋_GB2312"/>
          <w:kern w:val="0"/>
          <w:sz w:val="32"/>
          <w:szCs w:val="32"/>
        </w:rPr>
        <w:t>设区的市古树名木主管部门应当按照有关规范和要求，对古树名木设立保护标志。具有重要历史价值和纪念意义的古树名木，可以设置说明牌。</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保护标志应当简洁清晰，内容包括类别、中文名、学名、科属、树龄、保护级别、编号、设立时间、设立单位等信息，并设置电子信息码。</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古树群的保护标志应当标明群内古树的数量、主要树种组成、树龄结构、面积、边界范围图、编号、设立时间、设立单位等信息，并设置电子信息码。</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县（市、区）古树名木主管部门根据实际需要设置防护栏、避雷针、支撑架等保护设施，根据古树名木实际情况设立安全警示标志。</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Times New Roman" w:hAnsi="Times New Roman" w:eastAsia="方正黑体_GBK" w:cs="方正黑体_GBK"/>
          <w:bCs/>
          <w:sz w:val="32"/>
          <w:szCs w:val="32"/>
        </w:rPr>
        <w:t>第十四条【利用要求】</w:t>
      </w:r>
      <w:r>
        <w:rPr>
          <w:rFonts w:ascii="Times New Roman" w:hAnsi="Times New Roman" w:eastAsia="仿宋_GB2312" w:cs="Times New Roman"/>
          <w:color w:val="000000"/>
          <w:kern w:val="0"/>
          <w:sz w:val="32"/>
          <w:szCs w:val="32"/>
        </w:rPr>
        <w:t xml:space="preserve"> </w:t>
      </w:r>
      <w:r>
        <w:rPr>
          <w:rFonts w:hint="eastAsia" w:ascii="Times New Roman" w:hAnsi="Times New Roman" w:eastAsia="仿宋_GB2312" w:cs="Times New Roman"/>
          <w:color w:val="000000"/>
          <w:kern w:val="0"/>
          <w:sz w:val="32"/>
          <w:szCs w:val="32"/>
        </w:rPr>
        <w:t xml:space="preserve"> </w:t>
      </w:r>
      <w:r>
        <w:rPr>
          <w:rFonts w:hint="eastAsia" w:ascii="方正仿宋_GBK" w:hAnsi="仿宋_GB2312" w:eastAsia="方正仿宋_GBK" w:cs="仿宋_GB2312"/>
          <w:kern w:val="0"/>
          <w:sz w:val="32"/>
          <w:szCs w:val="32"/>
        </w:rPr>
        <w:t>在不损害古树名木及其生长环境的前提下，古树名木资源可以合理利用。</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有关单位和个人在利用古树名木资源时，应当严格遵守古树名木保护的规定，确保古树名木及其生长环境的安全，且不得破坏与其相关的历史风貌。</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ascii="Times New Roman" w:hAnsi="Times New Roman" w:eastAsia="方正黑体_GBK" w:cs="方正黑体_GBK"/>
          <w:bCs/>
          <w:sz w:val="32"/>
          <w:szCs w:val="32"/>
        </w:rPr>
        <w:t>第</w:t>
      </w:r>
      <w:r>
        <w:rPr>
          <w:rFonts w:hint="eastAsia" w:ascii="Times New Roman" w:hAnsi="Times New Roman" w:eastAsia="方正黑体_GBK" w:cs="方正黑体_GBK"/>
          <w:bCs/>
          <w:sz w:val="32"/>
          <w:szCs w:val="32"/>
        </w:rPr>
        <w:t>十五</w:t>
      </w:r>
      <w:r>
        <w:rPr>
          <w:rFonts w:ascii="Times New Roman" w:hAnsi="Times New Roman" w:eastAsia="方正黑体_GBK" w:cs="方正黑体_GBK"/>
          <w:bCs/>
          <w:sz w:val="32"/>
          <w:szCs w:val="32"/>
        </w:rPr>
        <w:t>条【</w:t>
      </w:r>
      <w:r>
        <w:rPr>
          <w:rFonts w:hint="eastAsia" w:ascii="Times New Roman" w:hAnsi="Times New Roman" w:eastAsia="方正黑体_GBK" w:cs="方正黑体_GBK"/>
          <w:bCs/>
          <w:sz w:val="32"/>
          <w:szCs w:val="32"/>
        </w:rPr>
        <w:t>种质资源利用</w:t>
      </w:r>
      <w:r>
        <w:rPr>
          <w:rFonts w:ascii="Times New Roman" w:hAnsi="Times New Roman" w:eastAsia="方正黑体_GBK" w:cs="方正黑体_GBK"/>
          <w:bCs/>
          <w:sz w:val="32"/>
          <w:szCs w:val="32"/>
        </w:rPr>
        <w:t>】</w:t>
      </w:r>
      <w:r>
        <w:rPr>
          <w:rFonts w:ascii="Times New Roman" w:hAnsi="Times New Roman" w:eastAsia="黑体" w:cs="Times New Roman"/>
          <w:kern w:val="0"/>
          <w:sz w:val="32"/>
          <w:szCs w:val="32"/>
        </w:rPr>
        <w:t xml:space="preserve">  </w:t>
      </w:r>
      <w:r>
        <w:rPr>
          <w:rFonts w:hint="eastAsia" w:ascii="方正仿宋_GBK" w:hAnsi="仿宋_GB2312" w:eastAsia="方正仿宋_GBK" w:cs="仿宋_GB2312"/>
          <w:kern w:val="0"/>
          <w:sz w:val="32"/>
          <w:szCs w:val="32"/>
        </w:rPr>
        <w:t>鼓励、支持合理利用古树名木资源开展保护技术、遗传育种、生物学等科学研究，推广应用科研成果。</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省林业主管部门可以根据保护濒危、稀有、珍贵古树名木的需要，将古树名木种质资源纳入省级林木种质资源库。</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Times New Roman" w:hAnsi="Times New Roman" w:eastAsia="方正黑体_GBK" w:cs="方正黑体_GBK"/>
          <w:bCs/>
          <w:sz w:val="32"/>
          <w:szCs w:val="32"/>
        </w:rPr>
        <w:t>第十六条【建设公园、保护小区】</w:t>
      </w:r>
      <w:r>
        <w:rPr>
          <w:rFonts w:hint="eastAsia" w:ascii="Times New Roman" w:hAnsi="Times New Roman" w:eastAsia="黑体" w:cs="Times New Roman"/>
          <w:kern w:val="0"/>
          <w:sz w:val="32"/>
          <w:szCs w:val="32"/>
        </w:rPr>
        <w:t xml:space="preserve"> </w:t>
      </w:r>
      <w:r>
        <w:rPr>
          <w:rFonts w:hint="eastAsia" w:ascii="Times New Roman" w:hAnsi="Times New Roman" w:eastAsia="仿宋_GB2312" w:cs="Times New Roman"/>
          <w:b/>
          <w:bCs/>
          <w:kern w:val="0"/>
          <w:sz w:val="32"/>
          <w:szCs w:val="32"/>
        </w:rPr>
        <w:t xml:space="preserve"> </w:t>
      </w:r>
      <w:r>
        <w:rPr>
          <w:rFonts w:hint="eastAsia" w:ascii="方正仿宋_GBK" w:hAnsi="仿宋_GB2312" w:eastAsia="方正仿宋_GBK" w:cs="仿宋_GB2312"/>
          <w:kern w:val="0"/>
          <w:sz w:val="32"/>
          <w:szCs w:val="32"/>
        </w:rPr>
        <w:t>鼓励结合古镇古村落、古民居保护以及城市更新，挖掘提炼古树名木自然生态和历史人文价值，建设古树名木公园、保护小区，开展自然、历史科普宣教活动，促进古树名木资源与生态旅游融合发展。</w:t>
      </w:r>
    </w:p>
    <w:p>
      <w:pPr>
        <w:pStyle w:val="11"/>
        <w:widowControl/>
        <w:spacing w:line="560" w:lineRule="exact"/>
        <w:ind w:firstLine="640" w:firstLineChars="200"/>
        <w:rPr>
          <w:rFonts w:ascii="Times New Roman" w:hAnsi="Times New Roman" w:eastAsia="方正黑体_GBK" w:cs="Times New Roman"/>
          <w:bCs/>
          <w:kern w:val="0"/>
          <w:sz w:val="32"/>
          <w:szCs w:val="32"/>
        </w:rPr>
      </w:pPr>
    </w:p>
    <w:p>
      <w:pPr>
        <w:spacing w:line="560" w:lineRule="exact"/>
        <w:jc w:val="center"/>
        <w:rPr>
          <w:rFonts w:ascii="Times New Roman" w:hAnsi="Times New Roman" w:eastAsia="方正黑体_GBK" w:cs="方正黑体_GBK"/>
          <w:bCs/>
          <w:sz w:val="32"/>
          <w:szCs w:val="32"/>
        </w:rPr>
      </w:pPr>
      <w:r>
        <w:rPr>
          <w:rFonts w:hint="eastAsia" w:ascii="Times New Roman" w:hAnsi="Times New Roman" w:eastAsia="方正黑体_GBK" w:cs="方正黑体_GBK"/>
          <w:bCs/>
          <w:sz w:val="32"/>
          <w:szCs w:val="32"/>
        </w:rPr>
        <w:t>第三章  管  理</w:t>
      </w:r>
    </w:p>
    <w:p>
      <w:pPr>
        <w:adjustRightInd w:val="0"/>
        <w:snapToGrid w:val="0"/>
        <w:spacing w:line="560" w:lineRule="exact"/>
        <w:rPr>
          <w:rFonts w:ascii="Times New Roman" w:hAnsi="Times New Roman" w:eastAsia="方正仿宋_GBK" w:cs="Times New Roman"/>
          <w:b/>
          <w:bCs/>
          <w:sz w:val="32"/>
          <w:szCs w:val="32"/>
        </w:rPr>
      </w:pP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ascii="Times New Roman" w:hAnsi="Times New Roman" w:eastAsia="方正黑体_GBK" w:cs="方正黑体_GBK"/>
          <w:bCs/>
          <w:sz w:val="32"/>
          <w:szCs w:val="32"/>
        </w:rPr>
        <w:t>第十</w:t>
      </w:r>
      <w:r>
        <w:rPr>
          <w:rFonts w:hint="eastAsia" w:ascii="Times New Roman" w:hAnsi="Times New Roman" w:eastAsia="方正黑体_GBK" w:cs="方正黑体_GBK"/>
          <w:bCs/>
          <w:sz w:val="32"/>
          <w:szCs w:val="32"/>
        </w:rPr>
        <w:t>七</w:t>
      </w:r>
      <w:r>
        <w:rPr>
          <w:rFonts w:ascii="Times New Roman" w:hAnsi="Times New Roman" w:eastAsia="方正黑体_GBK" w:cs="方正黑体_GBK"/>
          <w:bCs/>
          <w:sz w:val="32"/>
          <w:szCs w:val="32"/>
        </w:rPr>
        <w:t>条</w:t>
      </w:r>
      <w:bookmarkStart w:id="0" w:name="tiao_15_kuan_3"/>
      <w:bookmarkEnd w:id="0"/>
      <w:r>
        <w:rPr>
          <w:rFonts w:ascii="Times New Roman" w:hAnsi="Times New Roman" w:eastAsia="方正黑体_GBK" w:cs="方正黑体_GBK"/>
          <w:bCs/>
          <w:sz w:val="32"/>
          <w:szCs w:val="32"/>
        </w:rPr>
        <w:t>【养护要求】</w:t>
      </w:r>
      <w:r>
        <w:rPr>
          <w:rFonts w:ascii="Times New Roman" w:hAnsi="Times New Roman" w:eastAsia="黑体" w:cs="Times New Roman"/>
          <w:kern w:val="0"/>
          <w:sz w:val="32"/>
          <w:szCs w:val="32"/>
        </w:rPr>
        <w:t xml:space="preserve"> </w:t>
      </w:r>
      <w:r>
        <w:rPr>
          <w:rFonts w:ascii="Times New Roman" w:hAnsi="Times New Roman" w:eastAsia="仿宋_GB2312" w:cs="Times New Roman"/>
          <w:bCs/>
          <w:color w:val="000000" w:themeColor="text1"/>
          <w:sz w:val="32"/>
          <w:szCs w:val="32"/>
          <w14:textFill>
            <w14:solidFill>
              <w14:schemeClr w14:val="tx1"/>
            </w14:solidFill>
          </w14:textFill>
        </w:rPr>
        <w:t xml:space="preserve"> </w:t>
      </w:r>
      <w:r>
        <w:rPr>
          <w:rFonts w:hint="eastAsia" w:ascii="方正仿宋_GBK" w:hAnsi="仿宋_GB2312" w:eastAsia="方正仿宋_GBK" w:cs="仿宋_GB2312"/>
          <w:kern w:val="0"/>
          <w:sz w:val="32"/>
          <w:szCs w:val="32"/>
        </w:rPr>
        <w:t>古树名木养护措施应当科学合理，避免不当养护。养护包括日常看护、水肥管理、土壤改良、有害生物防治、树冠整理、地上环境整治以及对生长衰弱、濒危、遭受损害、生长异常的古树名木实施救治、复壮等。</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ascii="Times New Roman" w:hAnsi="Times New Roman" w:eastAsia="方正黑体_GBK" w:cs="方正黑体_GBK"/>
          <w:bCs/>
          <w:sz w:val="32"/>
          <w:szCs w:val="32"/>
        </w:rPr>
        <w:t>第十</w:t>
      </w:r>
      <w:r>
        <w:rPr>
          <w:rFonts w:hint="eastAsia" w:ascii="Times New Roman" w:hAnsi="Times New Roman" w:eastAsia="方正黑体_GBK" w:cs="方正黑体_GBK"/>
          <w:bCs/>
          <w:sz w:val="32"/>
          <w:szCs w:val="32"/>
        </w:rPr>
        <w:t>八</w:t>
      </w:r>
      <w:r>
        <w:rPr>
          <w:rFonts w:ascii="Times New Roman" w:hAnsi="Times New Roman" w:eastAsia="方正黑体_GBK" w:cs="方正黑体_GBK"/>
          <w:bCs/>
          <w:sz w:val="32"/>
          <w:szCs w:val="32"/>
        </w:rPr>
        <w:t>条【养护责任人确定】</w:t>
      </w:r>
      <w:r>
        <w:rPr>
          <w:rFonts w:ascii="Times New Roman" w:hAnsi="Times New Roman" w:eastAsia="黑体" w:cs="Times New Roman"/>
          <w:kern w:val="0"/>
          <w:sz w:val="32"/>
          <w:szCs w:val="32"/>
        </w:rPr>
        <w:t xml:space="preserve">  </w:t>
      </w:r>
      <w:r>
        <w:rPr>
          <w:rFonts w:hint="eastAsia" w:ascii="方正仿宋_GBK" w:hAnsi="仿宋_GB2312" w:eastAsia="方正仿宋_GBK" w:cs="仿宋_GB2312"/>
          <w:kern w:val="0"/>
          <w:sz w:val="32"/>
          <w:szCs w:val="32"/>
        </w:rPr>
        <w:t>县（市、区）古树名木主管部门应当按照有利于古树名木日常养护的原则，根据以下规定确定古树名木的日常养护责任人：</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（一）自然保护地、林场、公园、广场、道路绿地及机场、铁路、公路、江河堤坝、水库湖渠等用地范围内的古树名木，其管理单位为日常养护责任人；</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（二）机关、部队、团体、企业事业单位和文物保护单位、宗教活动场所等用地范围内的古树名木，该单位为日常养护责任人；</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（三）居住区范围内的古树名木，所有权人或者其委托管理古树名木的单位、个人为日常养护责任人；</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四）乡镇公共设施用地范围内的古树名木，乡镇人民政府为日常养护责任人；农村承包的林地上的古树名木，承包方为日常养护责任人；农村宅基地上的古树名木，宅基地使用权人为日常养护责任人；农村其他土地上的古树名木，村民委员会或者村民小组为日常养护责任人；</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（五）在征收、收储后尚未出让、划拨土地上的古树名木，土地征收、收储单位为日常养护责任人；已出让、划拨但尚未完成建设土地上的古树名木，土地使用权人为日常养护责任人；</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（六）个人所有的古树名木，所有权人或者其委托管理古树名木的单位、个人为日常养护责任人；</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（七）无管理单位或者权属不清的古树名木，由古树名木所在地县（市、区）古树名木主管部门会同乡镇人民政府、街道办事处协调确定日常养护责任人，养护费用由本级人民政府财政予以保障。</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日常养护责任人履行养护职责的，可以按照有关规定折抵义务植树任务。</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ascii="Times New Roman" w:hAnsi="Times New Roman" w:eastAsia="方正黑体_GBK" w:cs="方正黑体_GBK"/>
          <w:bCs/>
          <w:sz w:val="32"/>
          <w:szCs w:val="32"/>
        </w:rPr>
        <w:t>第</w:t>
      </w:r>
      <w:r>
        <w:rPr>
          <w:rFonts w:hint="eastAsia" w:ascii="Times New Roman" w:hAnsi="Times New Roman" w:eastAsia="方正黑体_GBK" w:cs="方正黑体_GBK"/>
          <w:bCs/>
          <w:sz w:val="32"/>
          <w:szCs w:val="32"/>
        </w:rPr>
        <w:t>十九</w:t>
      </w:r>
      <w:r>
        <w:rPr>
          <w:rFonts w:ascii="Times New Roman" w:hAnsi="Times New Roman" w:eastAsia="方正黑体_GBK" w:cs="方正黑体_GBK"/>
          <w:bCs/>
          <w:sz w:val="32"/>
          <w:szCs w:val="32"/>
        </w:rPr>
        <w:t>条</w:t>
      </w:r>
      <w:r>
        <w:rPr>
          <w:rFonts w:hint="eastAsia" w:ascii="Times New Roman" w:hAnsi="Times New Roman" w:eastAsia="方正黑体_GBK" w:cs="方正黑体_GBK"/>
          <w:bCs/>
          <w:sz w:val="32"/>
          <w:szCs w:val="32"/>
        </w:rPr>
        <w:t>【养护责任】</w:t>
      </w:r>
      <w:r>
        <w:rPr>
          <w:rFonts w:hint="eastAsia" w:ascii="黑体" w:hAnsi="黑体" w:eastAsia="黑体" w:cs="黑体"/>
          <w:kern w:val="0"/>
          <w:sz w:val="32"/>
          <w:szCs w:val="32"/>
        </w:rPr>
        <w:t xml:space="preserve">  </w:t>
      </w:r>
      <w:r>
        <w:rPr>
          <w:rFonts w:hint="eastAsia" w:ascii="方正仿宋_GBK" w:hAnsi="仿宋_GB2312" w:eastAsia="方正仿宋_GBK" w:cs="仿宋_GB2312"/>
          <w:kern w:val="0"/>
          <w:sz w:val="32"/>
          <w:szCs w:val="32"/>
        </w:rPr>
        <w:t>日常养护责任人应当严格履行养护义务，做好日常养护工作，发现损害古树名木及其生长环境的行为应当及时予以制止。</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古树名木出现下列情形之一的，日常养护责任人应当及时报告县（市、区）古树名木主管部门。</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（一）枯死枝、梢需要修剪的；</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（二）树体及大枝出现倾倒、劈裂或者折断风险的；</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（三）长势衰退或者遭受损伤的；</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（四）发生有害生物危害的；</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（五）生长环境被破坏的；</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（六）其他生长异常的。</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ascii="Times New Roman" w:hAnsi="Times New Roman" w:eastAsia="方正黑体_GBK" w:cs="方正黑体_GBK"/>
          <w:bCs/>
          <w:sz w:val="32"/>
          <w:szCs w:val="32"/>
        </w:rPr>
        <w:t>第</w:t>
      </w:r>
      <w:r>
        <w:rPr>
          <w:rFonts w:hint="eastAsia" w:ascii="Times New Roman" w:hAnsi="Times New Roman" w:eastAsia="方正黑体_GBK" w:cs="方正黑体_GBK"/>
          <w:bCs/>
          <w:sz w:val="32"/>
          <w:szCs w:val="32"/>
        </w:rPr>
        <w:t>二</w:t>
      </w:r>
      <w:r>
        <w:rPr>
          <w:rFonts w:ascii="Times New Roman" w:hAnsi="Times New Roman" w:eastAsia="方正黑体_GBK" w:cs="方正黑体_GBK"/>
          <w:bCs/>
          <w:sz w:val="32"/>
          <w:szCs w:val="32"/>
        </w:rPr>
        <w:t>十条【养护协议】</w:t>
      </w:r>
      <w:r>
        <w:rPr>
          <w:rFonts w:ascii="Times New Roman" w:hAnsi="Times New Roman" w:eastAsia="黑体" w:cs="Times New Roman"/>
          <w:kern w:val="0"/>
          <w:sz w:val="32"/>
          <w:szCs w:val="32"/>
        </w:rPr>
        <w:t xml:space="preserve">  </w:t>
      </w:r>
      <w:r>
        <w:rPr>
          <w:rFonts w:hint="eastAsia" w:ascii="方正仿宋_GBK" w:hAnsi="仿宋_GB2312" w:eastAsia="方正仿宋_GBK" w:cs="仿宋_GB2312"/>
          <w:kern w:val="0"/>
          <w:sz w:val="32"/>
          <w:szCs w:val="32"/>
        </w:rPr>
        <w:t>县（市、区）古树名木主管部门应当与日常养护责任人签订日常养护协议，根据古树名木权属情况、保护等级、养护状况、养护费用等，明确双方权利义务。</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日常养护责任人发生变更的，应当及时告知县（市、区）古树名木主管部门，并重新签订养护协议。</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ascii="Times New Roman" w:hAnsi="Times New Roman" w:eastAsia="方正黑体_GBK" w:cs="方正黑体_GBK"/>
          <w:bCs/>
          <w:sz w:val="32"/>
          <w:szCs w:val="32"/>
        </w:rPr>
        <w:t>第</w:t>
      </w:r>
      <w:r>
        <w:rPr>
          <w:rFonts w:hint="eastAsia" w:ascii="Times New Roman" w:hAnsi="Times New Roman" w:eastAsia="方正黑体_GBK" w:cs="方正黑体_GBK"/>
          <w:bCs/>
          <w:sz w:val="32"/>
          <w:szCs w:val="32"/>
        </w:rPr>
        <w:t>二十一</w:t>
      </w:r>
      <w:r>
        <w:rPr>
          <w:rFonts w:ascii="Times New Roman" w:hAnsi="Times New Roman" w:eastAsia="方正黑体_GBK" w:cs="方正黑体_GBK"/>
          <w:bCs/>
          <w:sz w:val="32"/>
          <w:szCs w:val="32"/>
        </w:rPr>
        <w:t>条【日常巡查】</w:t>
      </w:r>
      <w:r>
        <w:rPr>
          <w:rFonts w:hint="eastAsia" w:ascii="Times New Roman" w:hAnsi="Times New Roman" w:eastAsia="黑体" w:cs="Times New Roman"/>
          <w:kern w:val="0"/>
          <w:sz w:val="32"/>
          <w:szCs w:val="32"/>
        </w:rPr>
        <w:t xml:space="preserve">  </w:t>
      </w:r>
      <w:r>
        <w:rPr>
          <w:rFonts w:hint="eastAsia" w:ascii="方正仿宋_GBK" w:hAnsi="仿宋_GB2312" w:eastAsia="方正仿宋_GBK" w:cs="仿宋_GB2312"/>
          <w:kern w:val="0"/>
          <w:sz w:val="32"/>
          <w:szCs w:val="32"/>
        </w:rPr>
        <w:t>古树名木主管部门应当建立古树名木分级保护巡查制度。县（市、区）古树名木主管部门应当对实行一级保护的古树名木每半年至少巡查一次，实行二级、三级保护的古树每年至少巡查一次。古树群应当按照最高保护级别开展巡查。巡查发现异常情况的，应当及时采取相应措施，并报告相应主管部门。</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设区的市古树名木主管部门应当对生长势衰弱、濒危的实行二级以上保护的古树名木开展重点巡查。</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省古树名木主管部门应当对生长势衰弱、濒危的实行一级保护的古树名木开展重点巡查。</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古树名木主管部门可以根据实际情况增加巡查频次。</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古树名木主管部门可以利用大数据、卫星遥感、智慧监测、无人机等技术手段开展动态监控管理。</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ascii="Times New Roman" w:hAnsi="Times New Roman" w:eastAsia="方正黑体_GBK" w:cs="方正黑体_GBK"/>
          <w:bCs/>
          <w:sz w:val="32"/>
          <w:szCs w:val="32"/>
        </w:rPr>
        <w:t>第</w:t>
      </w:r>
      <w:r>
        <w:rPr>
          <w:rFonts w:hint="eastAsia" w:ascii="Times New Roman" w:hAnsi="Times New Roman" w:eastAsia="方正黑体_GBK" w:cs="方正黑体_GBK"/>
          <w:bCs/>
          <w:sz w:val="32"/>
          <w:szCs w:val="32"/>
        </w:rPr>
        <w:t>二十二</w:t>
      </w:r>
      <w:r>
        <w:rPr>
          <w:rFonts w:ascii="Times New Roman" w:hAnsi="Times New Roman" w:eastAsia="方正黑体_GBK" w:cs="方正黑体_GBK"/>
          <w:bCs/>
          <w:sz w:val="32"/>
          <w:szCs w:val="32"/>
        </w:rPr>
        <w:t>条【</w:t>
      </w:r>
      <w:r>
        <w:rPr>
          <w:rFonts w:hint="eastAsia" w:ascii="Times New Roman" w:hAnsi="Times New Roman" w:eastAsia="方正黑体_GBK" w:cs="方正黑体_GBK"/>
          <w:bCs/>
          <w:sz w:val="32"/>
          <w:szCs w:val="32"/>
        </w:rPr>
        <w:t>健康评估】</w:t>
      </w:r>
      <w:r>
        <w:rPr>
          <w:rFonts w:ascii="Times New Roman" w:hAnsi="Times New Roman" w:eastAsia="黑体" w:cs="Times New Roman"/>
          <w:kern w:val="0"/>
          <w:sz w:val="32"/>
          <w:szCs w:val="32"/>
        </w:rPr>
        <w:t xml:space="preserve">  </w:t>
      </w:r>
      <w:r>
        <w:rPr>
          <w:rFonts w:hint="eastAsia" w:ascii="方正仿宋_GBK" w:hAnsi="仿宋_GB2312" w:eastAsia="方正仿宋_GBK" w:cs="仿宋_GB2312"/>
          <w:kern w:val="0"/>
          <w:sz w:val="32"/>
          <w:szCs w:val="32"/>
        </w:rPr>
        <w:t>古树名木主管部门可以委托专业团队定期开展古树名木健康评估，及时发现问题。</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对古树名木出现生长异常或者遭受损害等情形的，县（市、区）古树名木主管部门应当提出保护方案，必要时采取救治、复壮等措施。</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Times New Roman" w:hAnsi="Times New Roman" w:eastAsia="方正黑体_GBK" w:cs="方正黑体_GBK"/>
          <w:bCs/>
          <w:sz w:val="32"/>
          <w:szCs w:val="32"/>
        </w:rPr>
        <w:t>第二十三条【特殊情况保护】</w:t>
      </w:r>
      <w:r>
        <w:rPr>
          <w:rFonts w:hint="eastAsia" w:ascii="Times New Roman" w:hAnsi="Times New Roman" w:eastAsia="仿宋_GB2312" w:cs="Times New Roman"/>
          <w:kern w:val="0"/>
          <w:sz w:val="32"/>
          <w:szCs w:val="32"/>
        </w:rPr>
        <w:t xml:space="preserve">  </w:t>
      </w:r>
      <w:r>
        <w:rPr>
          <w:rFonts w:hint="eastAsia" w:ascii="方正仿宋_GBK" w:hAnsi="仿宋_GB2312" w:eastAsia="方正仿宋_GBK" w:cs="仿宋_GB2312"/>
          <w:kern w:val="0"/>
          <w:sz w:val="32"/>
          <w:szCs w:val="32"/>
        </w:rPr>
        <w:t>县（市、区）古树名木主管部门和日常养护责任人应当密切关注灾害性天气预警，及时采取相应的防范措施，并做好灾后处置。</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举办重大活动可能影响古树名木生长的，活动承办方应当对古树名木进行安全评估，并制定相应的保护措施。</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Times New Roman" w:hAnsi="Times New Roman" w:eastAsia="方正黑体_GBK" w:cs="方正黑体_GBK"/>
          <w:bCs/>
          <w:sz w:val="32"/>
          <w:szCs w:val="32"/>
        </w:rPr>
        <w:t>第二十四条【禁止采伐】</w:t>
      </w:r>
      <w:r>
        <w:rPr>
          <w:rFonts w:hint="eastAsia" w:ascii="Times New Roman" w:hAnsi="Times New Roman" w:eastAsia="仿宋_GB2312" w:cs="Times New Roman"/>
          <w:b/>
          <w:bCs/>
          <w:kern w:val="0"/>
          <w:sz w:val="32"/>
          <w:szCs w:val="32"/>
        </w:rPr>
        <w:t xml:space="preserve">  </w:t>
      </w:r>
      <w:r>
        <w:rPr>
          <w:rFonts w:hint="eastAsia" w:ascii="方正仿宋_GBK" w:hAnsi="仿宋_GB2312" w:eastAsia="方正仿宋_GBK" w:cs="仿宋_GB2312"/>
          <w:kern w:val="0"/>
          <w:sz w:val="32"/>
          <w:szCs w:val="32"/>
        </w:rPr>
        <w:t>禁止采伐古树名木。</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因重大植物疫情防控、抢险救灾等特殊紧急情形，依法采取应急处置措施采伐或者处置古树名木的，按相关规定执行。</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Times New Roman" w:hAnsi="Times New Roman" w:eastAsia="方正黑体_GBK" w:cs="方正黑体_GBK"/>
          <w:bCs/>
          <w:sz w:val="32"/>
          <w:szCs w:val="32"/>
        </w:rPr>
        <w:t>第二十五条【限制移植】</w:t>
      </w:r>
      <w:r>
        <w:rPr>
          <w:rFonts w:hint="eastAsia" w:ascii="Times New Roman" w:hAnsi="Times New Roman" w:eastAsia="黑体" w:cs="Times New Roman"/>
          <w:kern w:val="0"/>
          <w:sz w:val="32"/>
          <w:szCs w:val="32"/>
        </w:rPr>
        <w:t xml:space="preserve"> </w:t>
      </w:r>
      <w:r>
        <w:rPr>
          <w:rFonts w:hint="eastAsia" w:ascii="Times New Roman" w:hAnsi="Times New Roman" w:eastAsia="仿宋_GB2312" w:cs="Times New Roman"/>
          <w:kern w:val="0"/>
          <w:sz w:val="32"/>
          <w:szCs w:val="32"/>
        </w:rPr>
        <w:t xml:space="preserve"> </w:t>
      </w:r>
      <w:r>
        <w:rPr>
          <w:rFonts w:hint="eastAsia" w:ascii="方正仿宋_GBK" w:hAnsi="仿宋_GB2312" w:eastAsia="方正仿宋_GBK" w:cs="仿宋_GB2312"/>
          <w:kern w:val="0"/>
          <w:sz w:val="32"/>
          <w:szCs w:val="32"/>
        </w:rPr>
        <w:t>古树名木原则上实行原地保护，不得移植。符合法律、行政法规规定确实需要移植的情形除外。</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古树名木主管部门应当组织专家对移植的必要性和移植养护方案的可行性进行论证，论证通过的按相关规定办理移植手续。</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Times New Roman" w:hAnsi="Times New Roman" w:eastAsia="方正黑体_GBK" w:cs="方正黑体_GBK"/>
          <w:bCs/>
          <w:sz w:val="32"/>
          <w:szCs w:val="32"/>
        </w:rPr>
        <w:t>第二十六条【移植要求】</w:t>
      </w:r>
      <w:r>
        <w:rPr>
          <w:rFonts w:hint="eastAsia" w:ascii="Times New Roman" w:hAnsi="Times New Roman" w:eastAsia="仿宋_GB2312" w:cs="Times New Roman"/>
          <w:b/>
          <w:bCs/>
          <w:kern w:val="0"/>
          <w:sz w:val="32"/>
          <w:szCs w:val="32"/>
        </w:rPr>
        <w:t xml:space="preserve">  </w:t>
      </w:r>
      <w:r>
        <w:rPr>
          <w:rFonts w:hint="eastAsia" w:ascii="方正仿宋_GBK" w:hAnsi="仿宋_GB2312" w:eastAsia="方正仿宋_GBK" w:cs="仿宋_GB2312"/>
          <w:kern w:val="0"/>
          <w:sz w:val="32"/>
          <w:szCs w:val="32"/>
        </w:rPr>
        <w:t>移植古树名木应当按照有利于后续管理和保护的原则选择移植地，就近实施。</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古树名木主管部门应当组织专家对移植进行技术指导，加强移植后的检查监督。</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Times New Roman" w:hAnsi="Times New Roman" w:eastAsia="方正黑体_GBK" w:cs="方正黑体_GBK"/>
          <w:bCs/>
          <w:sz w:val="32"/>
          <w:szCs w:val="32"/>
        </w:rPr>
        <w:t>第二十七条【古树名木退出】</w:t>
      </w:r>
      <w:r>
        <w:rPr>
          <w:rFonts w:hint="eastAsia" w:ascii="Times New Roman" w:hAnsi="Times New Roman" w:eastAsia="黑体" w:cs="Times New Roman"/>
          <w:kern w:val="0"/>
          <w:sz w:val="32"/>
          <w:szCs w:val="32"/>
        </w:rPr>
        <w:t xml:space="preserve"> </w:t>
      </w:r>
      <w:r>
        <w:rPr>
          <w:rFonts w:hint="eastAsia" w:ascii="Times New Roman" w:hAnsi="Times New Roman" w:cs="Times New Roman"/>
          <w:sz w:val="32"/>
          <w:szCs w:val="32"/>
        </w:rPr>
        <w:t xml:space="preserve"> </w:t>
      </w:r>
      <w:r>
        <w:rPr>
          <w:rFonts w:hint="eastAsia" w:ascii="方正仿宋_GBK" w:hAnsi="仿宋_GB2312" w:eastAsia="方正仿宋_GBK" w:cs="仿宋_GB2312"/>
          <w:kern w:val="0"/>
          <w:sz w:val="32"/>
          <w:szCs w:val="32"/>
        </w:rPr>
        <w:t>任何单位和个人不得擅自处理疑似死亡或者死亡的古树名木。</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古树名木疑似死亡、灭失、不符合标准的，由认定该古树名木的主管部门组织确认；确认死亡、灭失、不符合标准的，应当查明原因并提出处置意见报本级人民政府，按照规定进行注销并公布，原编号予以保留。死亡的古树名木具有原地保留价值的予以保留，并根据实际情况采取必要保护措施。</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ascii="Times New Roman" w:hAnsi="Times New Roman" w:eastAsia="方正黑体_GBK" w:cs="方正黑体_GBK"/>
          <w:bCs/>
          <w:sz w:val="32"/>
          <w:szCs w:val="32"/>
        </w:rPr>
        <w:t>第二十</w:t>
      </w:r>
      <w:r>
        <w:rPr>
          <w:rFonts w:hint="eastAsia" w:ascii="Times New Roman" w:hAnsi="Times New Roman" w:eastAsia="方正黑体_GBK" w:cs="方正黑体_GBK"/>
          <w:bCs/>
          <w:sz w:val="32"/>
          <w:szCs w:val="32"/>
        </w:rPr>
        <w:t>八</w:t>
      </w:r>
      <w:r>
        <w:rPr>
          <w:rFonts w:ascii="Times New Roman" w:hAnsi="Times New Roman" w:eastAsia="方正黑体_GBK" w:cs="方正黑体_GBK"/>
          <w:bCs/>
          <w:sz w:val="32"/>
          <w:szCs w:val="32"/>
        </w:rPr>
        <w:t>条【建设项目</w:t>
      </w:r>
      <w:r>
        <w:rPr>
          <w:rFonts w:hint="eastAsia" w:ascii="Times New Roman" w:hAnsi="Times New Roman" w:eastAsia="方正黑体_GBK" w:cs="方正黑体_GBK"/>
          <w:bCs/>
          <w:sz w:val="32"/>
          <w:szCs w:val="32"/>
        </w:rPr>
        <w:t>管理</w:t>
      </w:r>
      <w:r>
        <w:rPr>
          <w:rFonts w:ascii="Times New Roman" w:hAnsi="Times New Roman" w:eastAsia="方正黑体_GBK" w:cs="方正黑体_GBK"/>
          <w:bCs/>
          <w:sz w:val="32"/>
          <w:szCs w:val="32"/>
        </w:rPr>
        <w:t>】</w:t>
      </w:r>
      <w:r>
        <w:rPr>
          <w:rFonts w:ascii="Times New Roman" w:hAnsi="Times New Roman" w:eastAsia="黑体" w:cs="Times New Roman"/>
          <w:kern w:val="0"/>
          <w:sz w:val="32"/>
          <w:szCs w:val="32"/>
        </w:rPr>
        <w:t xml:space="preserve">  </w:t>
      </w:r>
      <w:r>
        <w:rPr>
          <w:rFonts w:hint="eastAsia" w:ascii="方正仿宋_GBK" w:hAnsi="仿宋_GB2312" w:eastAsia="方正仿宋_GBK" w:cs="仿宋_GB2312"/>
          <w:kern w:val="0"/>
          <w:sz w:val="32"/>
          <w:szCs w:val="32"/>
        </w:rPr>
        <w:t>建设项目选址、建设应当避开古树名木保护范围；因特殊情况不能避开，应当在设计阶段报告古树名木主管部门，并按照要求采取必要的工程措施，尽可能减轻对古树名木及其生长环境的损害。</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建设项目涉及古树名木的，其环境影响报告应当包含对古树名木的影响评价。</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新建、扩建的建筑物、构筑物，其风格、形态、高度、色彩等风貌要素，应当与古树名木承载的历史文化价值以及周边环境风貌相协调。</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开发利用地下空间的建设项目，不得影响古树</w:t>
      </w:r>
      <w:bookmarkStart w:id="1" w:name="_GoBack"/>
      <w:bookmarkEnd w:id="1"/>
      <w:r>
        <w:rPr>
          <w:rFonts w:hint="eastAsia" w:ascii="方正仿宋_GBK" w:hAnsi="仿宋_GB2312" w:eastAsia="方正仿宋_GBK" w:cs="仿宋_GB2312"/>
          <w:kern w:val="0"/>
          <w:sz w:val="32"/>
          <w:szCs w:val="32"/>
        </w:rPr>
        <w:t>名木正常生长。因实施市政、交通等基础设施确需在古树名木保护范围地下空间进行开发利用的，应当经古树名木主管部门论证。</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ascii="Times New Roman" w:hAnsi="Times New Roman" w:eastAsia="方正黑体_GBK" w:cs="方正黑体_GBK"/>
          <w:bCs/>
          <w:sz w:val="32"/>
          <w:szCs w:val="32"/>
        </w:rPr>
        <w:t>第</w:t>
      </w:r>
      <w:r>
        <w:rPr>
          <w:rFonts w:hint="eastAsia" w:ascii="Times New Roman" w:hAnsi="Times New Roman" w:eastAsia="方正黑体_GBK" w:cs="方正黑体_GBK"/>
          <w:bCs/>
          <w:sz w:val="32"/>
          <w:szCs w:val="32"/>
        </w:rPr>
        <w:t>二十九</w:t>
      </w:r>
      <w:r>
        <w:rPr>
          <w:rFonts w:ascii="Times New Roman" w:hAnsi="Times New Roman" w:eastAsia="方正黑体_GBK" w:cs="方正黑体_GBK"/>
          <w:bCs/>
          <w:sz w:val="32"/>
          <w:szCs w:val="32"/>
        </w:rPr>
        <w:t>条</w:t>
      </w:r>
      <w:r>
        <w:rPr>
          <w:rFonts w:hint="eastAsia" w:ascii="Times New Roman" w:hAnsi="Times New Roman" w:eastAsia="方正黑体_GBK" w:cs="方正黑体_GBK"/>
          <w:bCs/>
          <w:sz w:val="32"/>
          <w:szCs w:val="32"/>
        </w:rPr>
        <w:t>【保护范围内已有的清理】</w:t>
      </w:r>
      <w:r>
        <w:rPr>
          <w:rFonts w:hint="eastAsia" w:ascii="黑体" w:hAnsi="黑体" w:eastAsia="黑体" w:cs="黑体"/>
          <w:kern w:val="0"/>
          <w:sz w:val="32"/>
          <w:szCs w:val="32"/>
        </w:rPr>
        <w:t xml:space="preserve">  </w:t>
      </w:r>
      <w:r>
        <w:rPr>
          <w:rFonts w:hint="eastAsia" w:ascii="方正仿宋_GBK" w:hAnsi="仿宋_GB2312" w:eastAsia="方正仿宋_GBK" w:cs="仿宋_GB2312"/>
          <w:kern w:val="0"/>
          <w:sz w:val="32"/>
          <w:szCs w:val="32"/>
        </w:rPr>
        <w:t>古树名木保护范围内已有的建筑物、构筑物、管线、硬化地面、堆放重物等影响古树名木正常生长的，县（市、区）人民政府应当有计划地组织治理，及时修复古树名木的生长环境。</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ascii="Times New Roman" w:hAnsi="Times New Roman" w:eastAsia="黑体" w:cs="Times New Roman"/>
          <w:kern w:val="0"/>
          <w:sz w:val="32"/>
          <w:szCs w:val="32"/>
        </w:rPr>
        <w:t>第</w:t>
      </w:r>
      <w:r>
        <w:rPr>
          <w:rFonts w:hint="eastAsia" w:ascii="Times New Roman" w:hAnsi="Times New Roman" w:eastAsia="黑体" w:cs="Times New Roman"/>
          <w:kern w:val="0"/>
          <w:sz w:val="32"/>
          <w:szCs w:val="32"/>
        </w:rPr>
        <w:t>三十</w:t>
      </w:r>
      <w:r>
        <w:rPr>
          <w:rFonts w:ascii="Times New Roman" w:hAnsi="Times New Roman" w:eastAsia="黑体" w:cs="Times New Roman"/>
          <w:kern w:val="0"/>
          <w:sz w:val="32"/>
          <w:szCs w:val="32"/>
        </w:rPr>
        <w:t xml:space="preserve">条【禁止行为】  </w:t>
      </w:r>
      <w:r>
        <w:rPr>
          <w:rFonts w:hint="eastAsia" w:ascii="方正仿宋_GBK" w:hAnsi="仿宋_GB2312" w:eastAsia="方正仿宋_GBK" w:cs="仿宋_GB2312"/>
          <w:kern w:val="0"/>
          <w:sz w:val="32"/>
          <w:szCs w:val="32"/>
        </w:rPr>
        <w:t>任何单位、个人不得实施下列损害古树名木及其生长环境的行为：</w:t>
      </w:r>
      <w:r>
        <w:fldChar w:fldCharType="begin"/>
      </w:r>
      <w:r>
        <w:instrText xml:space="preserve"> HYPERLINK "javascript:void(0);" </w:instrText>
      </w:r>
      <w:r>
        <w:fldChar w:fldCharType="separate"/>
      </w:r>
      <w:r>
        <w:fldChar w:fldCharType="end"/>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（一）买卖、运输、加工非法采伐、移植的古树名木；</w:t>
      </w:r>
      <w:r>
        <w:fldChar w:fldCharType="begin"/>
      </w:r>
      <w:r>
        <w:instrText xml:space="preserve"> HYPERLINK "javascript:void(0);" </w:instrText>
      </w:r>
      <w:r>
        <w:fldChar w:fldCharType="separate"/>
      </w:r>
      <w:r>
        <w:fldChar w:fldCharType="end"/>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（二）挖根、剥损树皮、过度修剪枝干；</w:t>
      </w:r>
      <w:r>
        <w:fldChar w:fldCharType="begin"/>
      </w:r>
      <w:r>
        <w:instrText xml:space="preserve"> HYPERLINK "javascript:void(0);" </w:instrText>
      </w:r>
      <w:r>
        <w:fldChar w:fldCharType="separate"/>
      </w:r>
      <w:r>
        <w:fldChar w:fldCharType="end"/>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（三）向古树名木灌注有毒有害物质；</w:t>
      </w:r>
      <w:r>
        <w:fldChar w:fldCharType="begin"/>
      </w:r>
      <w:r>
        <w:instrText xml:space="preserve"> HYPERLINK "javascript:void(0);" </w:instrText>
      </w:r>
      <w:r>
        <w:fldChar w:fldCharType="separate"/>
      </w:r>
      <w:r>
        <w:fldChar w:fldCharType="end"/>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（四）在古树名木保护范围内铺设非通透性硬化地面、使用明火、堆放重物、倾倒易燃易爆物品或者有毒有害物质；</w:t>
      </w:r>
      <w:r>
        <w:fldChar w:fldCharType="begin"/>
      </w:r>
      <w:r>
        <w:instrText xml:space="preserve"> HYPERLINK "javascript:void(0);" </w:instrText>
      </w:r>
      <w:r>
        <w:fldChar w:fldCharType="separate"/>
      </w:r>
      <w:r>
        <w:fldChar w:fldCharType="end"/>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（五）在古树名木上刻划、架设线缆、缠绕或者悬挂物体等，攀爬古树名木；</w:t>
      </w:r>
      <w:r>
        <w:fldChar w:fldCharType="begin"/>
      </w:r>
      <w:r>
        <w:instrText xml:space="preserve"> HYPERLINK "javascript:void(0);" </w:instrText>
      </w:r>
      <w:r>
        <w:fldChar w:fldCharType="separate"/>
      </w:r>
      <w:r>
        <w:fldChar w:fldCharType="end"/>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（六）破坏古树名木保护设施、保护标志；</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（七）其他损害古树名木及其生长环境的行为。</w:t>
      </w:r>
    </w:p>
    <w:p>
      <w:pPr>
        <w:adjustRightInd w:val="0"/>
        <w:snapToGrid w:val="0"/>
        <w:spacing w:line="560" w:lineRule="exact"/>
        <w:ind w:firstLine="640" w:firstLineChars="200"/>
        <w:rPr>
          <w:rFonts w:ascii="方正仿宋_GBK" w:hAnsi="Times New Roman" w:eastAsia="方正仿宋_GBK" w:cs="Times New Roman"/>
          <w:kern w:val="0"/>
          <w:sz w:val="32"/>
          <w:szCs w:val="32"/>
        </w:rPr>
      </w:pPr>
    </w:p>
    <w:p>
      <w:pPr>
        <w:spacing w:line="560" w:lineRule="exact"/>
        <w:jc w:val="center"/>
        <w:rPr>
          <w:rFonts w:ascii="Times New Roman" w:hAnsi="Times New Roman" w:eastAsia="方正黑体_GBK" w:cs="方正黑体_GBK"/>
          <w:bCs/>
          <w:sz w:val="32"/>
          <w:szCs w:val="32"/>
        </w:rPr>
      </w:pPr>
      <w:r>
        <w:rPr>
          <w:rFonts w:hint="eastAsia" w:ascii="Times New Roman" w:hAnsi="Times New Roman" w:eastAsia="方正黑体_GBK" w:cs="方正黑体_GBK"/>
          <w:bCs/>
          <w:sz w:val="32"/>
          <w:szCs w:val="32"/>
        </w:rPr>
        <w:t>第四章  保  障</w:t>
      </w:r>
    </w:p>
    <w:p>
      <w:pPr>
        <w:adjustRightInd w:val="0"/>
        <w:snapToGrid w:val="0"/>
        <w:spacing w:line="560" w:lineRule="exact"/>
        <w:ind w:firstLine="640" w:firstLineChars="200"/>
        <w:rPr>
          <w:rFonts w:ascii="Times New Roman" w:hAnsi="Times New Roman" w:eastAsia="方正黑体_GBK" w:cs="Times New Roman"/>
          <w:bCs/>
          <w:kern w:val="0"/>
          <w:sz w:val="32"/>
          <w:szCs w:val="32"/>
        </w:rPr>
      </w:pP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Times New Roman" w:hAnsi="Times New Roman" w:eastAsia="方正黑体_GBK" w:cs="方正黑体_GBK"/>
          <w:bCs/>
          <w:sz w:val="32"/>
          <w:szCs w:val="32"/>
        </w:rPr>
        <w:t>第三十一条【资金保障】</w:t>
      </w:r>
      <w:r>
        <w:rPr>
          <w:rFonts w:hint="eastAsia" w:ascii="Times New Roman" w:hAnsi="Times New Roman" w:eastAsia="黑体" w:cs="Times New Roman"/>
          <w:kern w:val="0"/>
          <w:sz w:val="32"/>
          <w:szCs w:val="32"/>
        </w:rPr>
        <w:t xml:space="preserve">  </w:t>
      </w:r>
      <w:r>
        <w:rPr>
          <w:rFonts w:hint="eastAsia" w:ascii="方正仿宋_GBK" w:hAnsi="仿宋_GB2312" w:eastAsia="方正仿宋_GBK" w:cs="仿宋_GB2312"/>
          <w:kern w:val="0"/>
          <w:sz w:val="32"/>
          <w:szCs w:val="32"/>
        </w:rPr>
        <w:t>县级以上人民政府应当将开展普查、补充调查、鉴定、保护设施建设、养护、健康评估、抢救复壮、培训教育等古树名木保护管理工作所需经费，按照财政事权和支出责任划分原则列入本级预算。</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支持保险机构开展古树名木保险业务，鼓励县级以上人民政府为古树名木保险提供保费。</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积极探索建立古树名木保护补偿机制，提高古树名木保护管理水平。</w:t>
      </w:r>
    </w:p>
    <w:p>
      <w:pPr>
        <w:pStyle w:val="11"/>
        <w:widowControl/>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Times New Roman" w:hAnsi="Times New Roman" w:eastAsia="方正黑体_GBK" w:cs="方正黑体_GBK"/>
          <w:bCs/>
          <w:sz w:val="32"/>
          <w:szCs w:val="32"/>
        </w:rPr>
        <w:t xml:space="preserve">第三十二条【损害补偿】 </w:t>
      </w:r>
      <w:r>
        <w:rPr>
          <w:rFonts w:hint="eastAsia" w:ascii="Times New Roman" w:hAnsi="Times New Roman" w:eastAsia="黑体" w:cs="Times New Roman"/>
          <w:kern w:val="0"/>
          <w:sz w:val="32"/>
          <w:szCs w:val="32"/>
        </w:rPr>
        <w:t xml:space="preserve"> </w:t>
      </w:r>
      <w:r>
        <w:rPr>
          <w:rFonts w:hint="eastAsia" w:ascii="方正仿宋_GBK" w:hAnsi="仿宋_GB2312" w:eastAsia="方正仿宋_GBK" w:cs="仿宋_GB2312"/>
          <w:kern w:val="0"/>
          <w:sz w:val="32"/>
          <w:szCs w:val="32"/>
        </w:rPr>
        <w:t>因生态保护等公共利益需要，造成古树名木相关权利人合法权益受到损害的，县级以上地方人民政府应当依法给予补偿；涉及属于集体所有、私人所有的古树名木的，县级以上地方人民政府可以采取措施合理照顾有关单位、个人的利益。</w:t>
      </w:r>
    </w:p>
    <w:p>
      <w:pPr>
        <w:pStyle w:val="11"/>
        <w:widowControl/>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Times New Roman" w:hAnsi="Times New Roman" w:eastAsia="方正黑体_GBK" w:cs="方正黑体_GBK"/>
          <w:bCs/>
          <w:sz w:val="32"/>
          <w:szCs w:val="32"/>
        </w:rPr>
        <w:t>第三十三条【专家库】</w:t>
      </w:r>
      <w:r>
        <w:rPr>
          <w:rFonts w:hint="eastAsia" w:ascii="Times New Roman" w:hAnsi="Times New Roman" w:eastAsia="黑体" w:cs="Times New Roman"/>
          <w:kern w:val="0"/>
          <w:sz w:val="32"/>
          <w:szCs w:val="32"/>
        </w:rPr>
        <w:t xml:space="preserve">  </w:t>
      </w:r>
      <w:r>
        <w:rPr>
          <w:rFonts w:hint="eastAsia" w:ascii="方正仿宋_GBK" w:hAnsi="仿宋_GB2312" w:eastAsia="方正仿宋_GBK" w:cs="仿宋_GB2312"/>
          <w:kern w:val="0"/>
          <w:sz w:val="32"/>
          <w:szCs w:val="32"/>
        </w:rPr>
        <w:t>古树名木主管部门根据需要可以建立古树名木保护专家库，为古树名木的鉴定认定、移植管理、抢救复壮以及古树名木利用等提供决策咨询。</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Times New Roman" w:hAnsi="Times New Roman" w:eastAsia="方正黑体_GBK" w:cs="方正黑体_GBK"/>
          <w:bCs/>
          <w:sz w:val="32"/>
          <w:szCs w:val="32"/>
        </w:rPr>
        <w:t>第三十四条【专业培训】</w:t>
      </w:r>
      <w:r>
        <w:rPr>
          <w:rFonts w:hint="eastAsia" w:ascii="Times New Roman" w:hAnsi="Times New Roman" w:eastAsia="黑体" w:cs="Times New Roman"/>
          <w:kern w:val="0"/>
          <w:sz w:val="32"/>
          <w:szCs w:val="32"/>
        </w:rPr>
        <w:t xml:space="preserve">  </w:t>
      </w:r>
      <w:r>
        <w:rPr>
          <w:rFonts w:hint="eastAsia" w:ascii="方正仿宋_GBK" w:hAnsi="仿宋_GB2312" w:eastAsia="方正仿宋_GBK" w:cs="仿宋_GB2312"/>
          <w:kern w:val="0"/>
          <w:sz w:val="32"/>
          <w:szCs w:val="32"/>
        </w:rPr>
        <w:t>古树名木主管部门应当加强古树名木保护专业技术人才培养，组织开展日常养护责任人的培训教育，提高管护水平，增强管护责任意识。</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Times New Roman" w:hAnsi="Times New Roman" w:eastAsia="方正黑体_GBK" w:cs="方正黑体_GBK"/>
          <w:bCs/>
          <w:sz w:val="32"/>
          <w:szCs w:val="32"/>
        </w:rPr>
        <w:t>第三十五条【强制措施】</w:t>
      </w:r>
      <w:r>
        <w:rPr>
          <w:rFonts w:hint="eastAsia" w:ascii="Times New Roman" w:hAnsi="Times New Roman" w:eastAsia="黑体" w:cs="Times New Roman"/>
          <w:kern w:val="0"/>
          <w:sz w:val="32"/>
          <w:szCs w:val="32"/>
        </w:rPr>
        <w:t xml:space="preserve">  </w:t>
      </w:r>
      <w:r>
        <w:rPr>
          <w:rFonts w:hint="eastAsia" w:ascii="方正仿宋_GBK" w:hAnsi="仿宋_GB2312" w:eastAsia="方正仿宋_GBK" w:cs="仿宋_GB2312"/>
          <w:kern w:val="0"/>
          <w:sz w:val="32"/>
          <w:szCs w:val="32"/>
        </w:rPr>
        <w:t>古树名木主管部门依照法律、行政法规，按照职责分工对古树名木保护管理等活动进行监督检查，有权采取下列措施：</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（一）询问被检查单位、个人，要求其对与监督检查事项有关的情况作出说明；</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（二）进行现场检查；</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（三）查阅、复制有关文件、资料，对可能被转移、销毁、隐匿或者篡改的文件、资料予以封存；</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（四）查封、扣押涉嫌违法活动的场所、设施或者财物。</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古树名木主管部门依法进行监督检查，有关单位、个人应当予以配合，不得拒绝、阻碍。</w:t>
      </w:r>
    </w:p>
    <w:p>
      <w:pPr>
        <w:kinsoku w:val="0"/>
        <w:autoSpaceDE w:val="0"/>
        <w:autoSpaceDN w:val="0"/>
        <w:adjustRightInd w:val="0"/>
        <w:snapToGrid w:val="0"/>
        <w:spacing w:line="560" w:lineRule="exact"/>
        <w:ind w:firstLine="640" w:firstLineChars="200"/>
        <w:textAlignment w:val="baseline"/>
        <w:rPr>
          <w:rFonts w:ascii="方正仿宋_GBK" w:hAnsi="仿宋_GB2312" w:eastAsia="方正仿宋_GBK" w:cs="仿宋_GB2312"/>
          <w:kern w:val="0"/>
          <w:sz w:val="32"/>
          <w:szCs w:val="32"/>
        </w:rPr>
      </w:pPr>
      <w:r>
        <w:rPr>
          <w:rFonts w:hint="eastAsia" w:ascii="Times New Roman" w:hAnsi="Times New Roman" w:eastAsia="方正黑体_GBK" w:cs="方正黑体_GBK"/>
          <w:bCs/>
          <w:sz w:val="32"/>
          <w:szCs w:val="32"/>
        </w:rPr>
        <w:t>第三十六条【协同执法】</w:t>
      </w:r>
      <w:r>
        <w:rPr>
          <w:rFonts w:hint="eastAsia" w:ascii="方正黑体_GBK" w:hAnsi="方正黑体_GBK" w:eastAsia="方正黑体_GBK" w:cs="方正黑体_GBK"/>
          <w:sz w:val="32"/>
          <w:szCs w:val="32"/>
        </w:rPr>
        <w:t xml:space="preserve">  </w:t>
      </w:r>
      <w:r>
        <w:rPr>
          <w:rFonts w:hint="eastAsia" w:ascii="方正仿宋_GBK" w:hAnsi="仿宋_GB2312" w:eastAsia="方正仿宋_GBK" w:cs="仿宋_GB2312"/>
          <w:kern w:val="0"/>
          <w:sz w:val="32"/>
          <w:szCs w:val="32"/>
        </w:rPr>
        <w:t>县级以上地方人民政府应当建立古树名木执法协作机制，推动数据共享和业务协同，根据古树名木保护工作需要，组织林业、城市绿化、民族宗教事务、公安、自然资源、生态环境、住房城乡建设、农业农村、文化和旅游、城市管理等有关部门开展古树名木保护联合执法。</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Times New Roman" w:hAnsi="Times New Roman" w:eastAsia="方正黑体_GBK" w:cs="方正黑体_GBK"/>
          <w:bCs/>
          <w:sz w:val="32"/>
          <w:szCs w:val="32"/>
        </w:rPr>
        <w:t>第三十七条【责任制、约谈制】</w:t>
      </w:r>
      <w:r>
        <w:rPr>
          <w:rFonts w:hint="eastAsia" w:ascii="Times New Roman" w:hAnsi="Times New Roman" w:eastAsia="黑体" w:cs="Times New Roman"/>
          <w:kern w:val="0"/>
          <w:sz w:val="32"/>
          <w:szCs w:val="32"/>
        </w:rPr>
        <w:t xml:space="preserve">  </w:t>
      </w:r>
      <w:r>
        <w:rPr>
          <w:rFonts w:hint="eastAsia" w:ascii="方正仿宋_GBK" w:hAnsi="仿宋_GB2312" w:eastAsia="方正仿宋_GBK" w:cs="仿宋_GB2312"/>
          <w:kern w:val="0"/>
          <w:sz w:val="32"/>
          <w:szCs w:val="32"/>
        </w:rPr>
        <w:t>县级以上地方人民政府应当建立古树名木保护目标责任制，将古树名木保护纳入本级人民政府综合绩效评价和林长制考核内容。</w:t>
      </w:r>
    </w:p>
    <w:p>
      <w:pPr>
        <w:adjustRightInd w:val="0"/>
        <w:snapToGrid w:val="0"/>
        <w:spacing w:line="560" w:lineRule="exact"/>
        <w:ind w:firstLine="640" w:firstLineChars="200"/>
        <w:rPr>
          <w:rFonts w:ascii="方正仿宋_GBK" w:hAnsi="仿宋_GB2312" w:eastAsia="方正仿宋_GBK" w:cs="仿宋_GB2312"/>
          <w:kern w:val="0"/>
          <w:sz w:val="32"/>
          <w:szCs w:val="32"/>
        </w:rPr>
      </w:pPr>
      <w:r>
        <w:rPr>
          <w:rFonts w:hint="eastAsia" w:ascii="方正仿宋_GBK" w:hAnsi="仿宋_GB2312" w:eastAsia="方正仿宋_GBK" w:cs="仿宋_GB2312"/>
          <w:kern w:val="0"/>
          <w:sz w:val="32"/>
          <w:szCs w:val="32"/>
        </w:rPr>
        <w:t>对古树名木保护不力、问题突出的，省古树名木主管部门可以约谈有关单位主要负责人，要求其采取措施及时整改。</w:t>
      </w:r>
    </w:p>
    <w:p>
      <w:pPr>
        <w:pStyle w:val="11"/>
        <w:widowControl/>
        <w:adjustRightInd w:val="0"/>
        <w:snapToGrid w:val="0"/>
        <w:spacing w:line="560" w:lineRule="exact"/>
        <w:ind w:firstLine="640" w:firstLineChars="200"/>
        <w:rPr>
          <w:rFonts w:ascii="方正仿宋_GBK" w:hAnsi="仿宋_GB2312" w:eastAsia="方正仿宋_GBK" w:cs="仿宋_GB2312"/>
          <w:kern w:val="0"/>
          <w:sz w:val="32"/>
          <w:szCs w:val="32"/>
        </w:rPr>
      </w:pPr>
      <w:r>
        <w:rPr>
          <w:rFonts w:ascii="Times New Roman" w:hAnsi="Times New Roman" w:eastAsia="方正黑体_GBK" w:cs="方正黑体_GBK"/>
          <w:bCs/>
          <w:sz w:val="32"/>
          <w:szCs w:val="32"/>
        </w:rPr>
        <w:t>第</w:t>
      </w:r>
      <w:r>
        <w:rPr>
          <w:rFonts w:hint="eastAsia" w:ascii="Times New Roman" w:hAnsi="Times New Roman" w:eastAsia="方正黑体_GBK" w:cs="方正黑体_GBK"/>
          <w:bCs/>
          <w:sz w:val="32"/>
          <w:szCs w:val="32"/>
        </w:rPr>
        <w:t>三十八</w:t>
      </w:r>
      <w:r>
        <w:rPr>
          <w:rFonts w:ascii="Times New Roman" w:hAnsi="Times New Roman" w:eastAsia="方正黑体_GBK" w:cs="方正黑体_GBK"/>
          <w:bCs/>
          <w:sz w:val="32"/>
          <w:szCs w:val="32"/>
        </w:rPr>
        <w:t>条【离任审计】</w:t>
      </w:r>
      <w:r>
        <w:rPr>
          <w:rFonts w:ascii="Times New Roman" w:hAnsi="Times New Roman" w:eastAsia="黑体" w:cs="Times New Roman"/>
          <w:kern w:val="0"/>
          <w:sz w:val="32"/>
          <w:szCs w:val="32"/>
        </w:rPr>
        <w:t xml:space="preserve">  </w:t>
      </w:r>
      <w:r>
        <w:rPr>
          <w:rFonts w:hint="eastAsia" w:ascii="方正仿宋_GBK" w:hAnsi="仿宋_GB2312" w:eastAsia="方正仿宋_GBK" w:cs="仿宋_GB2312"/>
          <w:kern w:val="0"/>
          <w:sz w:val="32"/>
          <w:szCs w:val="32"/>
        </w:rPr>
        <w:t>古树名木保护管理情况，按规定纳入领导干部自然资源资产离任审计。</w:t>
      </w:r>
    </w:p>
    <w:p>
      <w:pPr>
        <w:adjustRightInd w:val="0"/>
        <w:snapToGrid w:val="0"/>
        <w:spacing w:line="560" w:lineRule="exact"/>
        <w:ind w:firstLine="640" w:firstLineChars="200"/>
        <w:rPr>
          <w:rFonts w:ascii="Times New Roman" w:hAnsi="Times New Roman" w:eastAsia="仿宋_GB2312" w:cs="Times New Roman"/>
          <w:kern w:val="0"/>
          <w:sz w:val="32"/>
          <w:szCs w:val="32"/>
        </w:rPr>
      </w:pPr>
    </w:p>
    <w:p>
      <w:pPr>
        <w:spacing w:line="560" w:lineRule="exact"/>
        <w:jc w:val="center"/>
        <w:rPr>
          <w:rFonts w:ascii="Times New Roman" w:hAnsi="Times New Roman" w:eastAsia="方正黑体_GBK" w:cs="方正黑体_GBK"/>
          <w:bCs/>
          <w:sz w:val="32"/>
          <w:szCs w:val="32"/>
        </w:rPr>
      </w:pPr>
      <w:r>
        <w:rPr>
          <w:rFonts w:hint="eastAsia" w:ascii="Times New Roman" w:hAnsi="Times New Roman" w:eastAsia="方正黑体_GBK" w:cs="方正黑体_GBK"/>
          <w:bCs/>
          <w:sz w:val="32"/>
          <w:szCs w:val="32"/>
        </w:rPr>
        <w:t>第五章  法律责任</w:t>
      </w:r>
    </w:p>
    <w:p>
      <w:pPr>
        <w:adjustRightInd w:val="0"/>
        <w:snapToGrid w:val="0"/>
        <w:spacing w:line="560" w:lineRule="exact"/>
        <w:ind w:firstLine="640" w:firstLineChars="200"/>
        <w:rPr>
          <w:rFonts w:ascii="Times New Roman" w:hAnsi="Times New Roman" w:eastAsia="方正黑体_GBK" w:cs="Times New Roman"/>
          <w:bCs/>
          <w:kern w:val="0"/>
          <w:sz w:val="32"/>
          <w:szCs w:val="32"/>
        </w:rPr>
      </w:pPr>
    </w:p>
    <w:p>
      <w:pPr>
        <w:pStyle w:val="11"/>
        <w:widowControl/>
        <w:adjustRightInd w:val="0"/>
        <w:snapToGrid w:val="0"/>
        <w:spacing w:line="560" w:lineRule="exact"/>
        <w:ind w:firstLine="640" w:firstLineChars="200"/>
        <w:rPr>
          <w:rFonts w:ascii="方正仿宋_GBK" w:hAnsi="仿宋_GB2312" w:eastAsia="方正仿宋_GBK" w:cs="仿宋_GB2312"/>
          <w:kern w:val="0"/>
          <w:sz w:val="32"/>
          <w:szCs w:val="32"/>
        </w:rPr>
      </w:pPr>
      <w:r>
        <w:rPr>
          <w:rFonts w:ascii="Times New Roman" w:hAnsi="Times New Roman" w:eastAsia="方正黑体_GBK" w:cs="方正黑体_GBK"/>
          <w:bCs/>
          <w:sz w:val="32"/>
          <w:szCs w:val="32"/>
        </w:rPr>
        <w:t>第</w:t>
      </w:r>
      <w:r>
        <w:rPr>
          <w:rFonts w:hint="eastAsia" w:ascii="Times New Roman" w:hAnsi="Times New Roman" w:eastAsia="方正黑体_GBK" w:cs="方正黑体_GBK"/>
          <w:bCs/>
          <w:sz w:val="32"/>
          <w:szCs w:val="32"/>
        </w:rPr>
        <w:t>三十九</w:t>
      </w:r>
      <w:r>
        <w:rPr>
          <w:rFonts w:ascii="Times New Roman" w:hAnsi="Times New Roman" w:eastAsia="方正黑体_GBK" w:cs="方正黑体_GBK"/>
          <w:bCs/>
          <w:sz w:val="32"/>
          <w:szCs w:val="32"/>
        </w:rPr>
        <w:t>条【</w:t>
      </w:r>
      <w:r>
        <w:rPr>
          <w:rFonts w:hint="eastAsia" w:ascii="Times New Roman" w:hAnsi="Times New Roman" w:eastAsia="方正黑体_GBK" w:cs="方正黑体_GBK"/>
          <w:bCs/>
          <w:sz w:val="32"/>
          <w:szCs w:val="32"/>
        </w:rPr>
        <w:t>指引</w:t>
      </w:r>
      <w:r>
        <w:rPr>
          <w:rFonts w:ascii="Times New Roman" w:hAnsi="Times New Roman" w:eastAsia="方正黑体_GBK" w:cs="方正黑体_GBK"/>
          <w:bCs/>
          <w:sz w:val="32"/>
          <w:szCs w:val="32"/>
        </w:rPr>
        <w:t>条款】</w:t>
      </w:r>
      <w:r>
        <w:rPr>
          <w:rFonts w:ascii="Times New Roman" w:hAnsi="Times New Roman" w:eastAsia="黑体" w:cs="Times New Roman"/>
          <w:kern w:val="0"/>
          <w:sz w:val="32"/>
          <w:szCs w:val="32"/>
        </w:rPr>
        <w:t xml:space="preserve"> </w:t>
      </w:r>
      <w:r>
        <w:rPr>
          <w:rFonts w:hint="eastAsia" w:ascii="方正仿宋_GBK" w:hAnsi="Times New Roman" w:eastAsia="方正仿宋_GBK" w:cs="Times New Roman"/>
          <w:kern w:val="0"/>
          <w:sz w:val="32"/>
          <w:szCs w:val="32"/>
        </w:rPr>
        <w:t xml:space="preserve"> </w:t>
      </w:r>
      <w:r>
        <w:rPr>
          <w:rFonts w:hint="eastAsia" w:ascii="方正仿宋_GBK" w:hAnsi="仿宋_GB2312" w:eastAsia="方正仿宋_GBK" w:cs="仿宋_GB2312"/>
          <w:kern w:val="0"/>
          <w:sz w:val="32"/>
          <w:szCs w:val="32"/>
        </w:rPr>
        <w:t>对违反本办法规定的行为，法律、法规已有处罚规定的，从其规定。</w:t>
      </w:r>
    </w:p>
    <w:p>
      <w:pPr>
        <w:pStyle w:val="11"/>
        <w:widowControl/>
        <w:adjustRightInd w:val="0"/>
        <w:snapToGrid w:val="0"/>
        <w:spacing w:line="560" w:lineRule="exact"/>
        <w:ind w:firstLine="640" w:firstLineChars="200"/>
        <w:rPr>
          <w:rFonts w:ascii="方正仿宋_GBK" w:hAnsi="仿宋_GB2312" w:eastAsia="方正仿宋_GBK" w:cs="仿宋_GB2312"/>
          <w:kern w:val="0"/>
          <w:sz w:val="32"/>
          <w:szCs w:val="32"/>
        </w:rPr>
      </w:pPr>
      <w:r>
        <w:rPr>
          <w:rFonts w:ascii="Times New Roman" w:hAnsi="Times New Roman" w:eastAsia="方正黑体_GBK" w:cs="方正黑体_GBK"/>
          <w:bCs/>
          <w:sz w:val="32"/>
          <w:szCs w:val="32"/>
        </w:rPr>
        <w:t>第</w:t>
      </w:r>
      <w:r>
        <w:rPr>
          <w:rFonts w:hint="eastAsia" w:ascii="Times New Roman" w:hAnsi="Times New Roman" w:eastAsia="方正黑体_GBK" w:cs="方正黑体_GBK"/>
          <w:bCs/>
          <w:sz w:val="32"/>
          <w:szCs w:val="32"/>
        </w:rPr>
        <w:t>四十</w:t>
      </w:r>
      <w:r>
        <w:rPr>
          <w:rFonts w:ascii="Times New Roman" w:hAnsi="Times New Roman" w:eastAsia="方正黑体_GBK" w:cs="方正黑体_GBK"/>
          <w:bCs/>
          <w:sz w:val="32"/>
          <w:szCs w:val="32"/>
        </w:rPr>
        <w:t>条【</w:t>
      </w:r>
      <w:r>
        <w:rPr>
          <w:rFonts w:hint="eastAsia" w:ascii="Times New Roman" w:hAnsi="Times New Roman" w:eastAsia="方正黑体_GBK" w:cs="方正黑体_GBK"/>
          <w:bCs/>
          <w:sz w:val="32"/>
          <w:szCs w:val="32"/>
        </w:rPr>
        <w:t>履职不当法律责任</w:t>
      </w:r>
      <w:r>
        <w:rPr>
          <w:rFonts w:ascii="Times New Roman" w:hAnsi="Times New Roman" w:eastAsia="方正黑体_GBK" w:cs="方正黑体_GBK"/>
          <w:bCs/>
          <w:sz w:val="32"/>
          <w:szCs w:val="32"/>
        </w:rPr>
        <w:t>】</w:t>
      </w:r>
      <w:r>
        <w:rPr>
          <w:rFonts w:hint="eastAsia" w:ascii="Times New Roman" w:hAnsi="Times New Roman" w:eastAsia="黑体" w:cs="Times New Roman"/>
          <w:kern w:val="0"/>
          <w:sz w:val="32"/>
          <w:szCs w:val="32"/>
        </w:rPr>
        <w:t xml:space="preserve">  </w:t>
      </w:r>
      <w:r>
        <w:rPr>
          <w:rFonts w:hint="eastAsia" w:ascii="方正仿宋_GBK" w:hAnsi="仿宋_GB2312" w:eastAsia="方正仿宋_GBK" w:cs="仿宋_GB2312"/>
          <w:kern w:val="0"/>
          <w:sz w:val="32"/>
          <w:szCs w:val="32"/>
        </w:rPr>
        <w:t>地方各级人民政府及其古树名木主管部门、其他有关部门的工作人员在古树名木保护管理工作中滥用职权、玩忽职守、徇私舞弊的，对直接负责的主管人员和其他直接责任人员依法给予处分；构成犯罪的，依法追究刑事责任。</w:t>
      </w:r>
    </w:p>
    <w:p>
      <w:pPr>
        <w:spacing w:line="560" w:lineRule="exact"/>
        <w:jc w:val="center"/>
        <w:rPr>
          <w:rFonts w:ascii="Times New Roman" w:hAnsi="Times New Roman" w:eastAsia="方正黑体_GBK" w:cs="方正黑体_GBK"/>
          <w:bCs/>
          <w:sz w:val="32"/>
          <w:szCs w:val="32"/>
        </w:rPr>
      </w:pPr>
    </w:p>
    <w:p>
      <w:pPr>
        <w:spacing w:line="560" w:lineRule="exact"/>
        <w:jc w:val="center"/>
        <w:rPr>
          <w:rFonts w:ascii="Times New Roman" w:hAnsi="Times New Roman" w:eastAsia="方正黑体_GBK" w:cs="方正黑体_GBK"/>
          <w:bCs/>
          <w:sz w:val="32"/>
          <w:szCs w:val="32"/>
        </w:rPr>
      </w:pPr>
      <w:r>
        <w:rPr>
          <w:rFonts w:hint="eastAsia" w:ascii="Times New Roman" w:hAnsi="Times New Roman" w:eastAsia="方正黑体_GBK" w:cs="方正黑体_GBK"/>
          <w:bCs/>
          <w:sz w:val="32"/>
          <w:szCs w:val="32"/>
        </w:rPr>
        <w:t>第六章  附  则</w:t>
      </w:r>
    </w:p>
    <w:p>
      <w:pPr>
        <w:spacing w:line="560" w:lineRule="exact"/>
        <w:jc w:val="center"/>
        <w:rPr>
          <w:rFonts w:ascii="Times New Roman" w:hAnsi="Times New Roman" w:eastAsia="方正黑体_GBK" w:cs="方正黑体_GBK"/>
          <w:bCs/>
          <w:sz w:val="32"/>
          <w:szCs w:val="32"/>
        </w:rPr>
      </w:pPr>
    </w:p>
    <w:p>
      <w:pPr>
        <w:adjustRightInd w:val="0"/>
        <w:snapToGrid w:val="0"/>
        <w:spacing w:line="560" w:lineRule="exact"/>
        <w:ind w:left="479" w:leftChars="228"/>
        <w:rPr>
          <w:rFonts w:ascii="仿宋_GB2312" w:hAnsi="仿宋_GB2312" w:eastAsia="仿宋_GB2312" w:cs="仿宋_GB2312"/>
          <w:kern w:val="0"/>
          <w:sz w:val="32"/>
          <w:szCs w:val="32"/>
        </w:rPr>
      </w:pPr>
      <w:r>
        <w:rPr>
          <w:rFonts w:ascii="Times New Roman" w:hAnsi="Times New Roman" w:eastAsia="方正黑体_GBK" w:cs="方正黑体_GBK"/>
          <w:bCs/>
          <w:sz w:val="32"/>
          <w:szCs w:val="32"/>
        </w:rPr>
        <w:t>第</w:t>
      </w:r>
      <w:r>
        <w:rPr>
          <w:rFonts w:hint="eastAsia" w:ascii="Times New Roman" w:hAnsi="Times New Roman" w:eastAsia="方正黑体_GBK" w:cs="方正黑体_GBK"/>
          <w:bCs/>
          <w:sz w:val="32"/>
          <w:szCs w:val="32"/>
        </w:rPr>
        <w:t>四十一</w:t>
      </w:r>
      <w:r>
        <w:rPr>
          <w:rFonts w:ascii="Times New Roman" w:hAnsi="Times New Roman" w:eastAsia="方正黑体_GBK" w:cs="方正黑体_GBK"/>
          <w:bCs/>
          <w:sz w:val="32"/>
          <w:szCs w:val="32"/>
        </w:rPr>
        <w:t>条【</w:t>
      </w:r>
      <w:r>
        <w:rPr>
          <w:rFonts w:hint="eastAsia" w:ascii="Times New Roman" w:hAnsi="Times New Roman" w:eastAsia="方正黑体_GBK" w:cs="方正黑体_GBK"/>
          <w:bCs/>
          <w:sz w:val="32"/>
          <w:szCs w:val="32"/>
        </w:rPr>
        <w:t>通用条款</w:t>
      </w:r>
      <w:r>
        <w:rPr>
          <w:rFonts w:ascii="Times New Roman" w:hAnsi="Times New Roman" w:eastAsia="方正黑体_GBK" w:cs="方正黑体_GBK"/>
          <w:bCs/>
          <w:sz w:val="32"/>
          <w:szCs w:val="32"/>
        </w:rPr>
        <w:t>】</w:t>
      </w:r>
      <w:r>
        <w:rPr>
          <w:rFonts w:ascii="Times New Roman" w:hAnsi="Times New Roman" w:eastAsia="黑体" w:cs="Times New Roman"/>
          <w:kern w:val="0"/>
          <w:sz w:val="32"/>
          <w:szCs w:val="32"/>
        </w:rPr>
        <w:t xml:space="preserve">  </w:t>
      </w:r>
      <w:r>
        <w:rPr>
          <w:rFonts w:hint="eastAsia" w:ascii="方正仿宋_GBK" w:hAnsi="仿宋_GB2312" w:eastAsia="方正仿宋_GBK" w:cs="仿宋_GB2312"/>
          <w:kern w:val="0"/>
          <w:sz w:val="32"/>
          <w:szCs w:val="32"/>
        </w:rPr>
        <w:t>本办法自  年 月 日起施行。</w:t>
      </w:r>
    </w:p>
    <w:p>
      <w:pPr>
        <w:adjustRightInd w:val="0"/>
        <w:snapToGrid w:val="0"/>
        <w:spacing w:line="560" w:lineRule="exact"/>
        <w:ind w:firstLine="640" w:firstLineChars="200"/>
        <w:rPr>
          <w:rFonts w:ascii="Times New Roman" w:hAnsi="Times New Roman" w:eastAsia="仿宋_GB2312" w:cs="Times New Roman"/>
          <w:kern w:val="0"/>
          <w:sz w:val="32"/>
          <w:szCs w:val="32"/>
        </w:rPr>
      </w:pPr>
    </w:p>
    <w:p>
      <w:pPr>
        <w:adjustRightInd w:val="0"/>
        <w:snapToGrid w:val="0"/>
        <w:spacing w:line="560" w:lineRule="exact"/>
        <w:ind w:firstLine="640" w:firstLineChars="200"/>
        <w:rPr>
          <w:rFonts w:ascii="Times New Roman" w:hAnsi="Times New Roman" w:eastAsia="仿宋_GB2312" w:cs="Times New Roman"/>
          <w:kern w:val="0"/>
          <w:sz w:val="32"/>
          <w:szCs w:val="32"/>
        </w:rPr>
      </w:pPr>
    </w:p>
    <w:p>
      <w:pPr>
        <w:adjustRightInd w:val="0"/>
        <w:snapToGrid w:val="0"/>
        <w:spacing w:line="560" w:lineRule="exact"/>
        <w:ind w:firstLine="640" w:firstLineChars="200"/>
        <w:rPr>
          <w:rFonts w:ascii="Times New Roman" w:hAnsi="Times New Roman" w:eastAsia="仿宋_GB2312" w:cs="Times New Roman"/>
          <w:kern w:val="0"/>
          <w:sz w:val="32"/>
          <w:szCs w:val="32"/>
        </w:rPr>
      </w:pPr>
    </w:p>
    <w:p>
      <w:pPr>
        <w:spacing w:line="560" w:lineRule="exact"/>
        <w:rPr>
          <w:rFonts w:ascii="Times New Roman" w:hAnsi="Times New Roman" w:eastAsia="仿宋_GB2312" w:cs="Times New Roman"/>
          <w:kern w:val="0"/>
          <w:sz w:val="32"/>
          <w:szCs w:val="32"/>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7AEC545-A4D8-4119-AD3F-283F6B98ACC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embedRegular r:id="rId2" w:fontKey="{240057F6-ECE2-497D-B957-5BE310B0E4B4}"/>
  </w:font>
  <w:font w:name="方正小标宋_GBK">
    <w:panose1 w:val="03000509000000000000"/>
    <w:charset w:val="86"/>
    <w:family w:val="script"/>
    <w:pitch w:val="default"/>
    <w:sig w:usb0="00000001" w:usb1="080E0000" w:usb2="00000000" w:usb3="00000000" w:csb0="00040000" w:csb1="00000000"/>
    <w:embedRegular r:id="rId3" w:fontKey="{A69624A7-E8CB-4147-BF1E-643369FF8C02}"/>
  </w:font>
  <w:font w:name="方正小标宋简体">
    <w:panose1 w:val="03000509000000000000"/>
    <w:charset w:val="86"/>
    <w:family w:val="auto"/>
    <w:pitch w:val="default"/>
    <w:sig w:usb0="00000001" w:usb1="080E0000" w:usb2="00000000" w:usb3="00000000" w:csb0="00040000" w:csb1="00000000"/>
    <w:embedRegular r:id="rId4" w:fontKey="{131738F1-4640-47C7-9C7E-7D38DC61926D}"/>
  </w:font>
  <w:font w:name="方正楷体_GBK">
    <w:panose1 w:val="03000509000000000000"/>
    <w:charset w:val="86"/>
    <w:family w:val="script"/>
    <w:pitch w:val="default"/>
    <w:sig w:usb0="00000001" w:usb1="080E0000" w:usb2="00000000" w:usb3="00000000" w:csb0="00040000" w:csb1="00000000"/>
    <w:embedRegular r:id="rId5" w:fontKey="{25247F11-C4E4-406A-94F5-08B208F35B8B}"/>
  </w:font>
  <w:font w:name="方正仿宋_GBK">
    <w:panose1 w:val="03000509000000000000"/>
    <w:charset w:val="86"/>
    <w:family w:val="script"/>
    <w:pitch w:val="default"/>
    <w:sig w:usb0="00000001" w:usb1="080E0000" w:usb2="00000000" w:usb3="00000000" w:csb0="00040000" w:csb1="00000000"/>
    <w:embedRegular r:id="rId6" w:fontKey="{C78C4B69-928D-4C83-940E-6397FCCF008B}"/>
  </w:font>
  <w:font w:name="仿宋_GB2312">
    <w:panose1 w:val="02010609030101010101"/>
    <w:charset w:val="86"/>
    <w:family w:val="auto"/>
    <w:pitch w:val="default"/>
    <w:sig w:usb0="00000001" w:usb1="080E0000" w:usb2="00000000" w:usb3="00000000" w:csb0="00040000" w:csb1="00000000"/>
    <w:embedRegular r:id="rId7" w:fontKey="{6F1CB9E4-E5C3-4D60-8F63-B8DA78F16A6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- 1 -</w:t>
                          </w:r>
                          <w:r>
                            <w:rPr>
                              <w:rFonts w:hint="eastAsia" w:asciiTheme="minorEastAsia" w:hAnsi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3"/>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- 1 -</w:t>
                    </w:r>
                    <w:r>
                      <w:rPr>
                        <w:rFonts w:hint="eastAsia" w:asciiTheme="minorEastAsia" w:hAnsi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826BCC"/>
    <w:rsid w:val="00112240"/>
    <w:rsid w:val="001442E9"/>
    <w:rsid w:val="003652D8"/>
    <w:rsid w:val="005C49B3"/>
    <w:rsid w:val="00636FFD"/>
    <w:rsid w:val="00744825"/>
    <w:rsid w:val="008125E3"/>
    <w:rsid w:val="009B1078"/>
    <w:rsid w:val="00A96C75"/>
    <w:rsid w:val="00E7690E"/>
    <w:rsid w:val="00EC673B"/>
    <w:rsid w:val="01E523FA"/>
    <w:rsid w:val="02005B8D"/>
    <w:rsid w:val="0275634E"/>
    <w:rsid w:val="03AB2895"/>
    <w:rsid w:val="04575F38"/>
    <w:rsid w:val="051060E7"/>
    <w:rsid w:val="06DE03EB"/>
    <w:rsid w:val="076F3599"/>
    <w:rsid w:val="082751D4"/>
    <w:rsid w:val="083F4318"/>
    <w:rsid w:val="0990469A"/>
    <w:rsid w:val="09E437FD"/>
    <w:rsid w:val="0A0115C9"/>
    <w:rsid w:val="0A2D780A"/>
    <w:rsid w:val="0C430C6B"/>
    <w:rsid w:val="0CC22958"/>
    <w:rsid w:val="0CFC330D"/>
    <w:rsid w:val="0F231E26"/>
    <w:rsid w:val="12666811"/>
    <w:rsid w:val="132F0080"/>
    <w:rsid w:val="13EC331A"/>
    <w:rsid w:val="150530C7"/>
    <w:rsid w:val="1546345F"/>
    <w:rsid w:val="16A83224"/>
    <w:rsid w:val="17C0399D"/>
    <w:rsid w:val="17E551B2"/>
    <w:rsid w:val="18EA6F23"/>
    <w:rsid w:val="19B6596F"/>
    <w:rsid w:val="1AF26175"/>
    <w:rsid w:val="1B542436"/>
    <w:rsid w:val="1B636B19"/>
    <w:rsid w:val="1C712644"/>
    <w:rsid w:val="1CAA1803"/>
    <w:rsid w:val="1CAE64BA"/>
    <w:rsid w:val="1DEE4E27"/>
    <w:rsid w:val="1EE00C14"/>
    <w:rsid w:val="1F592736"/>
    <w:rsid w:val="1F620FB1"/>
    <w:rsid w:val="1FB41C15"/>
    <w:rsid w:val="1FFE32B4"/>
    <w:rsid w:val="20120B0E"/>
    <w:rsid w:val="20C642E9"/>
    <w:rsid w:val="213E3174"/>
    <w:rsid w:val="22E067E3"/>
    <w:rsid w:val="24CC0ED1"/>
    <w:rsid w:val="25EE6204"/>
    <w:rsid w:val="28034902"/>
    <w:rsid w:val="280600C8"/>
    <w:rsid w:val="28AF7BB2"/>
    <w:rsid w:val="294B5300"/>
    <w:rsid w:val="2A084CC4"/>
    <w:rsid w:val="2A4E399F"/>
    <w:rsid w:val="2B4C52DF"/>
    <w:rsid w:val="2BE27F2E"/>
    <w:rsid w:val="2C8B4122"/>
    <w:rsid w:val="2C996ADD"/>
    <w:rsid w:val="2E006D67"/>
    <w:rsid w:val="2F4800A8"/>
    <w:rsid w:val="2F835624"/>
    <w:rsid w:val="2F947791"/>
    <w:rsid w:val="30AC2BAA"/>
    <w:rsid w:val="33D706FC"/>
    <w:rsid w:val="33EA5BD2"/>
    <w:rsid w:val="33F60E40"/>
    <w:rsid w:val="34E00D83"/>
    <w:rsid w:val="35E87EEF"/>
    <w:rsid w:val="363C648D"/>
    <w:rsid w:val="36453213"/>
    <w:rsid w:val="36902874"/>
    <w:rsid w:val="36DA728E"/>
    <w:rsid w:val="373830F8"/>
    <w:rsid w:val="3AAA60BB"/>
    <w:rsid w:val="3B0369D6"/>
    <w:rsid w:val="3C830972"/>
    <w:rsid w:val="3CB95FC0"/>
    <w:rsid w:val="3EEE50DC"/>
    <w:rsid w:val="41410DFB"/>
    <w:rsid w:val="414803DC"/>
    <w:rsid w:val="414D1610"/>
    <w:rsid w:val="42497F67"/>
    <w:rsid w:val="42A3084E"/>
    <w:rsid w:val="44F248E6"/>
    <w:rsid w:val="45371A95"/>
    <w:rsid w:val="459D5567"/>
    <w:rsid w:val="460C5E7C"/>
    <w:rsid w:val="465D0485"/>
    <w:rsid w:val="47097680"/>
    <w:rsid w:val="47BB54A9"/>
    <w:rsid w:val="48AB58D0"/>
    <w:rsid w:val="48CE11C6"/>
    <w:rsid w:val="48DD0D98"/>
    <w:rsid w:val="48E44E8E"/>
    <w:rsid w:val="48EB1D78"/>
    <w:rsid w:val="49040914"/>
    <w:rsid w:val="49381A62"/>
    <w:rsid w:val="4A196B3F"/>
    <w:rsid w:val="4A7A7858"/>
    <w:rsid w:val="4B4C4DD9"/>
    <w:rsid w:val="4BB23021"/>
    <w:rsid w:val="4BF058F8"/>
    <w:rsid w:val="4C485734"/>
    <w:rsid w:val="4C8D3147"/>
    <w:rsid w:val="4CBC3B05"/>
    <w:rsid w:val="4CFE0DAA"/>
    <w:rsid w:val="4D00229A"/>
    <w:rsid w:val="4DB34E2F"/>
    <w:rsid w:val="4DE5235D"/>
    <w:rsid w:val="4E826BCC"/>
    <w:rsid w:val="4F7B5F9B"/>
    <w:rsid w:val="4F9A5B59"/>
    <w:rsid w:val="5055041F"/>
    <w:rsid w:val="509A29D7"/>
    <w:rsid w:val="50E104DF"/>
    <w:rsid w:val="52943AA7"/>
    <w:rsid w:val="53CA4C80"/>
    <w:rsid w:val="550E1418"/>
    <w:rsid w:val="57B43C7D"/>
    <w:rsid w:val="57DE17F5"/>
    <w:rsid w:val="58AB628D"/>
    <w:rsid w:val="59F80E35"/>
    <w:rsid w:val="5AAF3758"/>
    <w:rsid w:val="5B3845B5"/>
    <w:rsid w:val="5B7E4CCE"/>
    <w:rsid w:val="5C0056E3"/>
    <w:rsid w:val="5D066D29"/>
    <w:rsid w:val="5DF008D6"/>
    <w:rsid w:val="5E7128C8"/>
    <w:rsid w:val="5F0822E4"/>
    <w:rsid w:val="609E54CA"/>
    <w:rsid w:val="61C86CA3"/>
    <w:rsid w:val="61C92810"/>
    <w:rsid w:val="622A34BA"/>
    <w:rsid w:val="62CF7BBD"/>
    <w:rsid w:val="63466D61"/>
    <w:rsid w:val="63B76FCF"/>
    <w:rsid w:val="64E76686"/>
    <w:rsid w:val="65C40725"/>
    <w:rsid w:val="66271AD6"/>
    <w:rsid w:val="669051F0"/>
    <w:rsid w:val="67803B7C"/>
    <w:rsid w:val="679023D4"/>
    <w:rsid w:val="67CD2FDA"/>
    <w:rsid w:val="6A042842"/>
    <w:rsid w:val="6B9B0F84"/>
    <w:rsid w:val="6C283C29"/>
    <w:rsid w:val="6D1C60F5"/>
    <w:rsid w:val="6D6E064D"/>
    <w:rsid w:val="6E6C7383"/>
    <w:rsid w:val="6F7E3097"/>
    <w:rsid w:val="6FB86C31"/>
    <w:rsid w:val="6FEA6B8A"/>
    <w:rsid w:val="71341C5F"/>
    <w:rsid w:val="73216213"/>
    <w:rsid w:val="73644352"/>
    <w:rsid w:val="74F82AFF"/>
    <w:rsid w:val="782A7918"/>
    <w:rsid w:val="7B1623D5"/>
    <w:rsid w:val="7B973A2E"/>
    <w:rsid w:val="7CAD0B17"/>
    <w:rsid w:val="7CD23280"/>
    <w:rsid w:val="7CF12FBF"/>
    <w:rsid w:val="7D1F683B"/>
    <w:rsid w:val="7DC53184"/>
    <w:rsid w:val="7E4A6EF9"/>
    <w:rsid w:val="7E642FBB"/>
    <w:rsid w:val="7E922A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qFormat/>
    <w:uiPriority w:val="99"/>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footnote text"/>
    <w:basedOn w:val="1"/>
    <w:qFormat/>
    <w:uiPriority w:val="0"/>
    <w:pPr>
      <w:snapToGrid w:val="0"/>
      <w:jc w:val="left"/>
    </w:pPr>
    <w:rPr>
      <w:sz w:val="18"/>
      <w:szCs w:val="18"/>
    </w:rPr>
  </w:style>
  <w:style w:type="paragraph" w:styleId="6">
    <w:name w:val="Normal (Web)"/>
    <w:basedOn w:val="1"/>
    <w:qFormat/>
    <w:uiPriority w:val="99"/>
    <w:pPr>
      <w:spacing w:beforeAutospacing="1" w:afterAutospacing="1"/>
      <w:jc w:val="left"/>
    </w:pPr>
    <w:rPr>
      <w:rFonts w:cs="Times New Roman"/>
      <w:kern w:val="0"/>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paragraph" w:customStyle="1" w:styleId="11">
    <w:name w:val="div"/>
    <w:basedOn w:val="1"/>
    <w:qFormat/>
    <w:uiPriority w:val="0"/>
    <w:pPr>
      <w:textAlignment w:val="baseline"/>
    </w:pPr>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1016</Words>
  <Characters>5793</Characters>
  <Lines>48</Lines>
  <Paragraphs>13</Paragraphs>
  <TotalTime>18</TotalTime>
  <ScaleCrop>false</ScaleCrop>
  <LinksUpToDate>false</LinksUpToDate>
  <CharactersWithSpaces>6796</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2026-04-30T03:33:00Z</dcterms:created>
  <dc:creator>xukai</dc:creator>
  <cp:lastModifiedBy>Administrator</cp:lastModifiedBy>
  <cp:lastPrinted>2026-04-29T07:40:00Z</cp:lastPrinted>
  <dcterms:modified xsi:type="dcterms:W3CDTF">2026-05-11T07:58:48Z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62EE20C9CB3A45F48060FF238170F001_13</vt:lpwstr>
  </property>
  <property fmtid="{D5CDD505-2E9C-101B-9397-08002B2CF9AE}" pid="4" name="KSOTemplateDocerSaveRecord">
    <vt:lpwstr>eyJoZGlkIjoiYWE1YjZhZGVlNmRlNmUxOTJmMWFlNTg3NTI0ZmQ5ZDQiLCJ1c2VySWQiOiI1NzIyNTEwNDkifQ==</vt:lpwstr>
  </property>
</Properties>
</file>