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B2C38">
      <w:pPr>
        <w:keepNext w:val="0"/>
        <w:keepLines w:val="0"/>
        <w:pageBreakBefore w:val="0"/>
        <w:widowControl w:val="0"/>
        <w:kinsoku/>
        <w:wordWrap/>
        <w:overflowPunct/>
        <w:topLinePunct w:val="0"/>
        <w:autoSpaceDE w:val="0"/>
        <w:autoSpaceDN w:val="0"/>
        <w:bidi w:val="0"/>
        <w:adjustRightInd/>
        <w:snapToGrid w:val="0"/>
        <w:spacing w:line="560" w:lineRule="exact"/>
        <w:jc w:val="center"/>
        <w:textAlignment w:val="auto"/>
        <w:rPr>
          <w:rFonts w:hint="eastAsia" w:ascii="方正小标宋_GBK" w:hAnsi="方正小标宋_GBK" w:eastAsia="方正小标宋_GBK" w:cs="方正小标宋_GBK"/>
          <w:sz w:val="44"/>
          <w:szCs w:val="24"/>
        </w:rPr>
      </w:pPr>
      <w:r>
        <w:rPr>
          <w:rFonts w:hint="eastAsia" w:ascii="方正小标宋_GBK" w:hAnsi="方正小标宋_GBK" w:eastAsia="方正小标宋_GBK" w:cs="方正小标宋_GBK"/>
          <w:sz w:val="44"/>
          <w:szCs w:val="24"/>
        </w:rPr>
        <w:t>江苏省林业局行政许可工作管理办法</w:t>
      </w:r>
    </w:p>
    <w:p w14:paraId="65588A1E">
      <w:pPr>
        <w:keepNext w:val="0"/>
        <w:keepLines w:val="0"/>
        <w:pageBreakBefore w:val="0"/>
        <w:widowControl w:val="0"/>
        <w:kinsoku/>
        <w:wordWrap/>
        <w:overflowPunct/>
        <w:topLinePunct w:val="0"/>
        <w:autoSpaceDE w:val="0"/>
        <w:autoSpaceDN w:val="0"/>
        <w:bidi w:val="0"/>
        <w:adjustRightInd/>
        <w:snapToGrid w:val="0"/>
        <w:spacing w:line="560" w:lineRule="exact"/>
        <w:jc w:val="center"/>
        <w:textAlignment w:val="auto"/>
        <w:rPr>
          <w:rFonts w:hint="eastAsia" w:ascii="方正小标宋_GBK" w:hAnsi="方正小标宋_GBK" w:eastAsia="方正小标宋_GBK" w:cs="方正小标宋_GBK"/>
          <w:sz w:val="40"/>
          <w:szCs w:val="40"/>
          <w:lang w:eastAsia="zh-CN"/>
        </w:rPr>
      </w:pPr>
      <w:r>
        <w:rPr>
          <w:rFonts w:hint="eastAsia" w:ascii="方正小标宋_GBK" w:hAnsi="方正小标宋_GBK" w:eastAsia="方正小标宋_GBK" w:cs="方正小标宋_GBK"/>
          <w:sz w:val="40"/>
          <w:szCs w:val="40"/>
          <w:lang w:eastAsia="zh-CN"/>
        </w:rPr>
        <w:t>（</w:t>
      </w:r>
      <w:r>
        <w:rPr>
          <w:rFonts w:hint="eastAsia" w:ascii="方正小标宋_GBK" w:hAnsi="方正小标宋_GBK" w:eastAsia="方正小标宋_GBK" w:cs="方正小标宋_GBK"/>
          <w:sz w:val="40"/>
          <w:szCs w:val="40"/>
          <w:lang w:val="en-US" w:eastAsia="zh-CN"/>
        </w:rPr>
        <w:t>向社会公开征求意见稿</w:t>
      </w:r>
      <w:r>
        <w:rPr>
          <w:rFonts w:hint="eastAsia" w:ascii="方正小标宋_GBK" w:hAnsi="方正小标宋_GBK" w:eastAsia="方正小标宋_GBK" w:cs="方正小标宋_GBK"/>
          <w:sz w:val="40"/>
          <w:szCs w:val="40"/>
          <w:lang w:eastAsia="zh-CN"/>
        </w:rPr>
        <w:t>）</w:t>
      </w:r>
    </w:p>
    <w:p w14:paraId="734851D4">
      <w:pPr>
        <w:keepNext w:val="0"/>
        <w:keepLines w:val="0"/>
        <w:pageBreakBefore w:val="0"/>
        <w:widowControl w:val="0"/>
        <w:kinsoku/>
        <w:wordWrap/>
        <w:overflowPunct/>
        <w:topLinePunct w:val="0"/>
        <w:autoSpaceDE w:val="0"/>
        <w:autoSpaceDN w:val="0"/>
        <w:bidi w:val="0"/>
        <w:adjustRightInd/>
        <w:snapToGrid w:val="0"/>
        <w:spacing w:line="560" w:lineRule="exact"/>
        <w:textAlignment w:val="auto"/>
      </w:pPr>
    </w:p>
    <w:p w14:paraId="4E879C0F">
      <w:pPr>
        <w:keepNext w:val="0"/>
        <w:keepLines w:val="0"/>
        <w:pageBreakBefore w:val="0"/>
        <w:widowControl w:val="0"/>
        <w:kinsoku/>
        <w:wordWrap/>
        <w:overflowPunct/>
        <w:topLinePunct w:val="0"/>
        <w:autoSpaceDE w:val="0"/>
        <w:autoSpaceDN w:val="0"/>
        <w:bidi w:val="0"/>
        <w:adjustRightInd/>
        <w:snapToGrid w:val="0"/>
        <w:spacing w:line="560" w:lineRule="exact"/>
        <w:jc w:val="center"/>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第一章 总则</w:t>
      </w:r>
    </w:p>
    <w:p w14:paraId="205493B0">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ascii="方正黑体_GBK" w:hAnsi="方正黑体_GBK" w:eastAsia="方正黑体_GBK" w:cs="方正黑体_GBK"/>
        </w:rPr>
        <w:t>第一条</w:t>
      </w:r>
      <w:r>
        <w:rPr>
          <w:rFonts w:hint="eastAsia"/>
        </w:rPr>
        <w:t xml:space="preserve">  为规范省林业局</w:t>
      </w:r>
      <w:r>
        <w:rPr>
          <w:rFonts w:hint="eastAsia"/>
          <w:lang w:val="en-US" w:eastAsia="zh-CN"/>
        </w:rPr>
        <w:t>开展</w:t>
      </w:r>
      <w:r>
        <w:rPr>
          <w:rFonts w:hint="eastAsia"/>
        </w:rPr>
        <w:t>行政许可工作，保护公民、法人和其他组织的合法权益，根据《中华人民共和国行政许可法》，结合我省林业行政许可工作实际，制定本办法。</w:t>
      </w:r>
    </w:p>
    <w:p w14:paraId="424F064C">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第二条</w:t>
      </w:r>
      <w:r>
        <w:rPr>
          <w:rFonts w:hint="eastAsia"/>
        </w:rPr>
        <w:t xml:space="preserve">  省林业局开展法定职权内的行政许可工作，适用本办法。</w:t>
      </w:r>
    </w:p>
    <w:p w14:paraId="5E5B8F4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省林业局开展受国家林业和草原局等行政机关或者组织（以下</w:t>
      </w:r>
      <w:r>
        <w:rPr>
          <w:rFonts w:hint="eastAsia"/>
          <w:lang w:val="en-US" w:eastAsia="zh-CN"/>
        </w:rPr>
        <w:t>简称</w:t>
      </w:r>
      <w:r>
        <w:rPr>
          <w:rFonts w:hint="eastAsia"/>
        </w:rPr>
        <w:t>“国家委托机关”）委托的行政许可工作，</w:t>
      </w:r>
      <w:r>
        <w:rPr>
          <w:rFonts w:hint="eastAsia"/>
          <w:lang w:val="en-US" w:eastAsia="zh-CN"/>
        </w:rPr>
        <w:t>已有规定的，</w:t>
      </w:r>
      <w:r>
        <w:rPr>
          <w:rFonts w:hint="eastAsia"/>
        </w:rPr>
        <w:t>依照</w:t>
      </w:r>
      <w:r>
        <w:rPr>
          <w:rFonts w:hint="eastAsia"/>
          <w:lang w:val="en-US" w:eastAsia="zh-CN"/>
        </w:rPr>
        <w:t>其</w:t>
      </w:r>
      <w:r>
        <w:rPr>
          <w:rFonts w:hint="eastAsia"/>
        </w:rPr>
        <w:t>规定；</w:t>
      </w:r>
      <w:r>
        <w:rPr>
          <w:rFonts w:hint="eastAsia"/>
          <w:lang w:val="en-US" w:eastAsia="zh-CN"/>
        </w:rPr>
        <w:t>未有明确</w:t>
      </w:r>
      <w:r>
        <w:rPr>
          <w:rFonts w:hint="eastAsia"/>
        </w:rPr>
        <w:t>规定的，</w:t>
      </w:r>
      <w:r>
        <w:rPr>
          <w:rFonts w:hint="eastAsia"/>
          <w:lang w:val="en-US" w:eastAsia="zh-CN"/>
        </w:rPr>
        <w:t>可以</w:t>
      </w:r>
      <w:r>
        <w:rPr>
          <w:rFonts w:hint="eastAsia"/>
        </w:rPr>
        <w:t>参照本办法。</w:t>
      </w:r>
    </w:p>
    <w:p w14:paraId="65602A2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第三条</w:t>
      </w:r>
      <w:r>
        <w:rPr>
          <w:rFonts w:hint="eastAsia"/>
        </w:rPr>
        <w:t xml:space="preserve">  行政许可事项实行清单管理制度，清单之外不得以任何形式“变相</w:t>
      </w:r>
      <w:r>
        <w:rPr>
          <w:rFonts w:hint="eastAsia"/>
          <w:lang w:val="en-US" w:eastAsia="zh-CN"/>
        </w:rPr>
        <w:t>实施行政许可</w:t>
      </w:r>
      <w:r>
        <w:rPr>
          <w:rFonts w:hint="eastAsia"/>
        </w:rPr>
        <w:t>”。</w:t>
      </w:r>
    </w:p>
    <w:p w14:paraId="234984FD">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rPr>
        <w:t>行政许可事项清单和办事指南等应当向社会公布。</w:t>
      </w:r>
    </w:p>
    <w:p w14:paraId="79A35ED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ascii="方正黑体_GBK" w:hAnsi="方正黑体_GBK" w:eastAsia="方正黑体_GBK" w:cs="方正黑体_GBK"/>
        </w:rPr>
        <w:t>第四条</w:t>
      </w:r>
      <w:r>
        <w:rPr>
          <w:rFonts w:hint="eastAsia"/>
        </w:rPr>
        <w:t xml:space="preserve">  实施行政许可，应当依照法定的权限、范围、条件和程序，遵循公开、公平、公正、非歧视、便民的原则，提高办事效率，提供标准化、规范化、便利化的优质服务。符合深化“放管服”改革和优化营商环境要求。</w:t>
      </w:r>
    </w:p>
    <w:p w14:paraId="515399E0">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ascii="方正黑体_GBK" w:hAnsi="方正黑体_GBK" w:eastAsia="方正黑体_GBK" w:cs="方正黑体_GBK"/>
        </w:rPr>
        <w:t>第五条</w:t>
      </w:r>
      <w:r>
        <w:rPr>
          <w:rFonts w:hint="eastAsia"/>
        </w:rPr>
        <w:t xml:space="preserve">  省林业局实施行政许可，一般遵循“集中服务，接办分离”的工作制度。</w:t>
      </w:r>
    </w:p>
    <w:p w14:paraId="33F30BF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第六条</w:t>
      </w:r>
      <w:r>
        <w:rPr>
          <w:rFonts w:hint="eastAsia"/>
        </w:rPr>
        <w:t xml:space="preserve">  省林业局推行电子政务与</w:t>
      </w:r>
      <w:r>
        <w:rPr>
          <w:rFonts w:hint="eastAsia"/>
          <w:lang w:eastAsia="zh-CN"/>
        </w:rPr>
        <w:t>“</w:t>
      </w:r>
      <w:r>
        <w:rPr>
          <w:rFonts w:hint="eastAsia"/>
        </w:rPr>
        <w:t>一网通办</w:t>
      </w:r>
      <w:r>
        <w:rPr>
          <w:rFonts w:hint="eastAsia"/>
          <w:lang w:eastAsia="zh-CN"/>
        </w:rPr>
        <w:t>”</w:t>
      </w:r>
      <w:r>
        <w:rPr>
          <w:rFonts w:hint="eastAsia"/>
        </w:rPr>
        <w:t>，除涉及国家秘密外，所有行政许可应当通过政务服务信息化平台办理。</w:t>
      </w:r>
    </w:p>
    <w:p w14:paraId="4490FB42">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eastAsia="方正仿宋_GBK"/>
          <w:lang w:val="en-US" w:eastAsia="zh-CN"/>
        </w:rPr>
      </w:pPr>
      <w:r>
        <w:rPr>
          <w:rFonts w:hint="eastAsia"/>
          <w:lang w:val="en-US" w:eastAsia="zh-CN"/>
        </w:rPr>
        <w:t>除</w:t>
      </w:r>
      <w:r>
        <w:rPr>
          <w:rFonts w:hint="eastAsia"/>
        </w:rPr>
        <w:t>国家委托机关或者上级机关另有规定外，省林业局实际实施的行政许可，应当依托省林业局建设的政务服务信息化平台办理。</w:t>
      </w:r>
      <w:r>
        <w:rPr>
          <w:rFonts w:hint="eastAsia"/>
          <w:lang w:val="en-US" w:eastAsia="zh-CN"/>
        </w:rPr>
        <w:t>该平台要做好与省数据局建设的一体化政务服务平台的衔接。</w:t>
      </w:r>
    </w:p>
    <w:p w14:paraId="6532E6A2">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省林业局建设的政务服务信息化平台应当适应行政许可工作需要，保障行政许可工作的顺利开展。</w:t>
      </w:r>
    </w:p>
    <w:p w14:paraId="3B58CFF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p>
    <w:p w14:paraId="296783D0">
      <w:pPr>
        <w:keepNext w:val="0"/>
        <w:keepLines w:val="0"/>
        <w:pageBreakBefore w:val="0"/>
        <w:widowControl w:val="0"/>
        <w:kinsoku/>
        <w:wordWrap/>
        <w:overflowPunct/>
        <w:topLinePunct w:val="0"/>
        <w:autoSpaceDE w:val="0"/>
        <w:autoSpaceDN w:val="0"/>
        <w:bidi w:val="0"/>
        <w:adjustRightInd/>
        <w:snapToGrid w:val="0"/>
        <w:spacing w:line="560" w:lineRule="exact"/>
        <w:jc w:val="center"/>
        <w:textAlignment w:val="auto"/>
        <w:rPr>
          <w:rFonts w:hint="eastAsia"/>
        </w:rPr>
      </w:pPr>
      <w:r>
        <w:rPr>
          <w:rFonts w:hint="eastAsia" w:ascii="方正黑体_GBK" w:hAnsi="方正黑体_GBK" w:eastAsia="方正黑体_GBK" w:cs="方正黑体_GBK"/>
        </w:rPr>
        <w:t>第二章 组织管理</w:t>
      </w:r>
    </w:p>
    <w:p w14:paraId="27247CF7">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ascii="方正黑体_GBK" w:hAnsi="方正黑体_GBK" w:eastAsia="方正黑体_GBK" w:cs="方正黑体_GBK"/>
        </w:rPr>
        <w:t>第七条</w:t>
      </w:r>
      <w:r>
        <w:rPr>
          <w:rFonts w:hint="eastAsia"/>
        </w:rPr>
        <w:t xml:space="preserve">  省林业局深化“放管服”改革和优化营商环境工作领导小组办公室（以下简称“领导小组办公室”）、办公室、行政许可事项承办处室（单位）（以下简称“承办单位”）以及驻省政务服务中心窗口（以下简称“窗口”）各司其职、密切配合，共同做好行政许可工作。</w:t>
      </w:r>
    </w:p>
    <w:p w14:paraId="56E4ED4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第八条</w:t>
      </w:r>
      <w:r>
        <w:rPr>
          <w:rFonts w:hint="eastAsia"/>
        </w:rPr>
        <w:t xml:space="preserve">  领导小组办公室负责统筹推进省林业局行政许可制度改革以及行政许可综合协调工作，承担下列职责：</w:t>
      </w:r>
    </w:p>
    <w:p w14:paraId="4DEEB0BD">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（一）牵头制定行政许可工作管理制度，规范行政许可</w:t>
      </w:r>
      <w:r>
        <w:rPr>
          <w:rFonts w:hint="eastAsia"/>
          <w:lang w:val="en-US" w:eastAsia="zh-CN"/>
        </w:rPr>
        <w:t>决定书格式</w:t>
      </w:r>
      <w:r>
        <w:rPr>
          <w:rFonts w:hint="eastAsia"/>
        </w:rPr>
        <w:t>和发文字号。</w:t>
      </w:r>
    </w:p>
    <w:p w14:paraId="6F63E1BE">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（二）组织编制行政许可事项清单、行政许可事项实施规范和办事指南等。</w:t>
      </w:r>
    </w:p>
    <w:p w14:paraId="23F345DF">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（三）协调行政许可事项的新增、变更、取消、下放、委托实施工作。</w:t>
      </w:r>
    </w:p>
    <w:p w14:paraId="3C876637">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（四）督促行政许可按工作流程办理。</w:t>
      </w:r>
    </w:p>
    <w:p w14:paraId="4952AFA4">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（五）汇总、分析行政许可数据信息。</w:t>
      </w:r>
    </w:p>
    <w:p w14:paraId="5C19C339">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（六）统筹做好行政许可事中事后监管工作，一般采取“双随机、一公开”的方式。</w:t>
      </w:r>
    </w:p>
    <w:p w14:paraId="64CC6B5B">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（七）牵头开展行政许可实施情况评价、行政许可“好差评”工作。</w:t>
      </w:r>
    </w:p>
    <w:p w14:paraId="7EFF98DE">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rPr>
        <w:t>（八）局党组交办的其他相关工作。</w:t>
      </w:r>
    </w:p>
    <w:p w14:paraId="7DF68D4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第九条</w:t>
      </w:r>
      <w:r>
        <w:rPr>
          <w:rFonts w:hint="eastAsia"/>
        </w:rPr>
        <w:t xml:space="preserve">  局办公室负责法制</w:t>
      </w:r>
      <w:r>
        <w:rPr>
          <w:rFonts w:hint="eastAsia"/>
          <w:lang w:val="en-US" w:eastAsia="zh-CN"/>
        </w:rPr>
        <w:t>审核等有关</w:t>
      </w:r>
      <w:r>
        <w:rPr>
          <w:rFonts w:hint="eastAsia"/>
        </w:rPr>
        <w:t>工作，承担下列职责：</w:t>
      </w:r>
    </w:p>
    <w:p w14:paraId="2245B63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（一）对行政许可事项清单、实施规范、办事指南、工作流程图等事项进行法制审核。</w:t>
      </w:r>
    </w:p>
    <w:p w14:paraId="448111DD">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（二）组织行政许可听证。</w:t>
      </w:r>
    </w:p>
    <w:p w14:paraId="7350BCF4">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（三）负责行政许可实施的有关监督工作。</w:t>
      </w:r>
    </w:p>
    <w:p w14:paraId="6725068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（四）牵头开展省林业局政务服务信息化平台建设及维护工作。</w:t>
      </w:r>
    </w:p>
    <w:p w14:paraId="73E5B101">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（五）按照档案管理要求保管</w:t>
      </w:r>
      <w:r>
        <w:rPr>
          <w:rFonts w:hint="eastAsia"/>
          <w:lang w:val="en-US" w:eastAsia="zh-CN"/>
        </w:rPr>
        <w:t>移交档案室的</w:t>
      </w:r>
      <w:r>
        <w:rPr>
          <w:rFonts w:hint="eastAsia"/>
        </w:rPr>
        <w:t>行政许可案卷。</w:t>
      </w:r>
    </w:p>
    <w:p w14:paraId="65EC605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rPr>
        <w:t>（六）对国家委托机关配发的行政许可专用章的和“江苏省林业局行政许可专用章（省）”进行统一管理和使用</w:t>
      </w:r>
      <w:r>
        <w:t>。</w:t>
      </w:r>
    </w:p>
    <w:p w14:paraId="2656F90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ascii="方正黑体_GBK" w:hAnsi="方正黑体_GBK" w:eastAsia="方正黑体_GBK" w:cs="方正黑体_GBK"/>
        </w:rPr>
        <w:t>第十条</w:t>
      </w:r>
      <w:r>
        <w:rPr>
          <w:rFonts w:hint="eastAsia"/>
        </w:rPr>
        <w:t xml:space="preserve">  </w:t>
      </w:r>
      <w:r>
        <w:rPr>
          <w:rFonts w:hint="eastAsia"/>
          <w:lang w:val="en-US" w:eastAsia="zh-CN"/>
        </w:rPr>
        <w:t>承办单位负责开展具体行政许可工作，承担下列职责：</w:t>
      </w:r>
    </w:p>
    <w:p w14:paraId="56725A0F">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lang w:val="en-US" w:eastAsia="zh-CN"/>
        </w:rPr>
        <w:t>（一）编制有关行政许可事项清单，提出需要新增、变更、取消、下放或者委托实施的行政许可事项的建议，并做好相应的具体工作。</w:t>
      </w:r>
    </w:p>
    <w:p w14:paraId="3BD2E2B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lang w:val="en-US" w:eastAsia="zh-CN"/>
        </w:rPr>
        <w:t>（二）编制有关行政许可事项实施规范、办事指南。</w:t>
      </w:r>
    </w:p>
    <w:p w14:paraId="15AAE41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lang w:val="en-US" w:eastAsia="zh-CN"/>
        </w:rPr>
        <w:t>（三）负责行政许可实施过程中的受理、审查、送达环节的具体工作。</w:t>
      </w:r>
    </w:p>
    <w:p w14:paraId="4E4B877F">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lang w:val="en-US" w:eastAsia="zh-CN"/>
        </w:rPr>
        <w:t>（四）开展行政许可（含本业务领域委托实施的行政许可）事中事后监管。</w:t>
      </w:r>
    </w:p>
    <w:p w14:paraId="06CAB6E0">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lang w:val="en-US" w:eastAsia="zh-CN"/>
        </w:rPr>
        <w:t>（五）提供行政许可具体业务咨询。</w:t>
      </w:r>
    </w:p>
    <w:p w14:paraId="42F2287D">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lang w:val="en-US" w:eastAsia="zh-CN"/>
        </w:rPr>
        <w:t>（六）整理行政许可案卷并移交局办公室归档。</w:t>
      </w:r>
    </w:p>
    <w:p w14:paraId="4DEA275D">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lang w:val="en-US" w:eastAsia="zh-CN"/>
        </w:rPr>
        <w:t>（七）对窗口人员进行业务培训。</w:t>
      </w:r>
    </w:p>
    <w:p w14:paraId="7F60412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lang w:val="en-US" w:eastAsia="zh-CN"/>
        </w:rPr>
        <w:t>（八）配合提供本业务领域内的行政许可数据。</w:t>
      </w:r>
    </w:p>
    <w:p w14:paraId="6856587D">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eastAsia="方正仿宋_GBK"/>
          <w:lang w:val="en-US" w:eastAsia="zh-CN"/>
        </w:rPr>
      </w:pPr>
      <w:r>
        <w:rPr>
          <w:rFonts w:hint="eastAsia"/>
          <w:lang w:val="en-US" w:eastAsia="zh-CN"/>
        </w:rPr>
        <w:t>（九）指导基层受委托机关开展本业务领域的行政许可工作。</w:t>
      </w:r>
    </w:p>
    <w:p w14:paraId="541F32F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第十一条</w:t>
      </w:r>
      <w:r>
        <w:rPr>
          <w:rFonts w:hint="eastAsia"/>
        </w:rPr>
        <w:t xml:space="preserve">  窗口承担领导小组办公室的具体工作以及下列行政许可相关工作：</w:t>
      </w:r>
    </w:p>
    <w:p w14:paraId="1965A3B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（一）负责行政许可实施过程中的接件环节，统一接收行政许可申请材料，并将申请材料通过政务服务信息化平台</w:t>
      </w:r>
      <w:r>
        <w:rPr>
          <w:rFonts w:hint="eastAsia"/>
          <w:lang w:eastAsia="zh-CN"/>
        </w:rPr>
        <w:t>（</w:t>
      </w:r>
      <w:r>
        <w:rPr>
          <w:rFonts w:hint="eastAsia"/>
          <w:lang w:val="en-US" w:eastAsia="zh-CN"/>
        </w:rPr>
        <w:t>以下简称“线上”；非政务服务信息化平台，以下简称“线下”</w:t>
      </w:r>
      <w:r>
        <w:rPr>
          <w:rFonts w:hint="eastAsia"/>
          <w:lang w:eastAsia="zh-CN"/>
        </w:rPr>
        <w:t>）</w:t>
      </w:r>
      <w:r>
        <w:rPr>
          <w:rFonts w:hint="eastAsia"/>
          <w:lang w:val="en-US" w:eastAsia="zh-CN"/>
        </w:rPr>
        <w:t>进行</w:t>
      </w:r>
      <w:r>
        <w:rPr>
          <w:rFonts w:hint="eastAsia"/>
        </w:rPr>
        <w:t>流转。</w:t>
      </w:r>
    </w:p>
    <w:p w14:paraId="0D52CB1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（二）统计、分析行政许可数据。</w:t>
      </w:r>
    </w:p>
    <w:p w14:paraId="4FBFCBCF">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（三）提供行政许可咨询。</w:t>
      </w:r>
    </w:p>
    <w:p w14:paraId="59AA1B1F">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（四）提供行政许可办理进度查询。</w:t>
      </w:r>
    </w:p>
    <w:p w14:paraId="4CFE4E8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eastAsia"/>
        </w:rPr>
        <w:t>局驻省政务服务中心首席代表负责窗口日常管理。对行政许可办理流程进行监督，并在行政许可办理单上签署意见。</w:t>
      </w:r>
    </w:p>
    <w:p w14:paraId="3145B6A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第十二条</w:t>
      </w:r>
      <w:r>
        <w:rPr>
          <w:rFonts w:hint="eastAsia"/>
        </w:rPr>
        <w:t xml:space="preserve">  窗口以及承办单位应当按照各自职责分工，</w:t>
      </w:r>
      <w:r>
        <w:rPr>
          <w:rFonts w:hint="eastAsia"/>
          <w:lang w:val="en-US" w:eastAsia="zh-CN"/>
        </w:rPr>
        <w:t>共同</w:t>
      </w:r>
      <w:r>
        <w:rPr>
          <w:rFonts w:hint="eastAsia"/>
        </w:rPr>
        <w:t>制定行政许可事项工作流程图。</w:t>
      </w:r>
    </w:p>
    <w:p w14:paraId="2A3146A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工作流程图应当明确办事流程、各环节责任人、办理时限</w:t>
      </w:r>
      <w:r>
        <w:rPr>
          <w:rFonts w:hint="eastAsia"/>
          <w:lang w:eastAsia="zh-CN"/>
        </w:rPr>
        <w:t>、各</w:t>
      </w:r>
      <w:r>
        <w:rPr>
          <w:rFonts w:hint="eastAsia"/>
        </w:rPr>
        <w:t>环节之间流转的必要条件等内容。工作流程图经</w:t>
      </w:r>
      <w:r>
        <w:rPr>
          <w:rFonts w:hint="eastAsia"/>
          <w:lang w:val="en-US" w:eastAsia="zh-CN"/>
        </w:rPr>
        <w:t>局</w:t>
      </w:r>
      <w:r>
        <w:rPr>
          <w:rFonts w:hint="eastAsia"/>
        </w:rPr>
        <w:t>办公室法制审</w:t>
      </w:r>
      <w:r>
        <w:rPr>
          <w:rFonts w:hint="eastAsia"/>
          <w:lang w:val="en-US" w:eastAsia="zh-CN"/>
        </w:rPr>
        <w:t>核</w:t>
      </w:r>
      <w:r>
        <w:rPr>
          <w:rFonts w:hint="eastAsia"/>
        </w:rPr>
        <w:t>后，报领导小组办公室备案，不得随意更改。</w:t>
      </w:r>
    </w:p>
    <w:p w14:paraId="4EDAE615">
      <w:pPr>
        <w:keepNext w:val="0"/>
        <w:keepLines w:val="0"/>
        <w:pageBreakBefore w:val="0"/>
        <w:widowControl w:val="0"/>
        <w:kinsoku/>
        <w:wordWrap/>
        <w:overflowPunct/>
        <w:topLinePunct w:val="0"/>
        <w:autoSpaceDE w:val="0"/>
        <w:autoSpaceDN w:val="0"/>
        <w:bidi w:val="0"/>
        <w:adjustRightInd/>
        <w:snapToGrid w:val="0"/>
        <w:spacing w:line="560" w:lineRule="exact"/>
        <w:jc w:val="center"/>
        <w:textAlignment w:val="auto"/>
        <w:rPr>
          <w:rFonts w:hint="eastAsia" w:ascii="方正黑体_GBK" w:hAnsi="方正黑体_GBK" w:eastAsia="方正黑体_GBK" w:cs="方正黑体_GBK"/>
        </w:rPr>
      </w:pPr>
    </w:p>
    <w:p w14:paraId="2797F4A9">
      <w:pPr>
        <w:keepNext w:val="0"/>
        <w:keepLines w:val="0"/>
        <w:pageBreakBefore w:val="0"/>
        <w:widowControl w:val="0"/>
        <w:kinsoku/>
        <w:wordWrap/>
        <w:overflowPunct/>
        <w:topLinePunct w:val="0"/>
        <w:autoSpaceDE w:val="0"/>
        <w:autoSpaceDN w:val="0"/>
        <w:bidi w:val="0"/>
        <w:adjustRightInd/>
        <w:snapToGrid w:val="0"/>
        <w:spacing w:line="560" w:lineRule="exact"/>
        <w:jc w:val="center"/>
        <w:textAlignment w:val="auto"/>
      </w:pPr>
      <w:r>
        <w:rPr>
          <w:rFonts w:hint="eastAsia" w:ascii="方正黑体_GBK" w:hAnsi="方正黑体_GBK" w:eastAsia="方正黑体_GBK" w:cs="方正黑体_GBK"/>
        </w:rPr>
        <w:t>第三章 实施程序</w:t>
      </w:r>
    </w:p>
    <w:p w14:paraId="6D1094F5">
      <w:pPr>
        <w:keepNext w:val="0"/>
        <w:keepLines w:val="0"/>
        <w:pageBreakBefore w:val="0"/>
        <w:widowControl w:val="0"/>
        <w:kinsoku/>
        <w:wordWrap/>
        <w:overflowPunct/>
        <w:topLinePunct w:val="0"/>
        <w:autoSpaceDE w:val="0"/>
        <w:autoSpaceDN w:val="0"/>
        <w:bidi w:val="0"/>
        <w:adjustRightInd/>
        <w:snapToGrid w:val="0"/>
        <w:spacing w:line="560" w:lineRule="exact"/>
        <w:ind w:firstLine="0" w:firstLineChars="0"/>
        <w:jc w:val="center"/>
        <w:textAlignment w:val="auto"/>
        <w:rPr>
          <w:rFonts w:hint="eastAsia"/>
        </w:rPr>
      </w:pPr>
      <w:r>
        <w:rPr>
          <w:rFonts w:hint="eastAsia" w:ascii="方正楷体_GBK" w:hAnsi="方正楷体_GBK" w:eastAsia="方正楷体_GBK" w:cs="方正楷体_GBK"/>
        </w:rPr>
        <w:t>第一节 申请与受理</w:t>
      </w:r>
    </w:p>
    <w:p w14:paraId="6F592A1F">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ascii="方正黑体_GBK" w:hAnsi="方正黑体_GBK" w:eastAsia="方正黑体_GBK" w:cs="方正黑体_GBK"/>
          <w:lang w:val="en-US" w:eastAsia="zh-CN"/>
        </w:rPr>
        <w:t xml:space="preserve">第十三条  </w:t>
      </w:r>
      <w:r>
        <w:rPr>
          <w:rFonts w:hint="eastAsia"/>
          <w:lang w:val="en-US" w:eastAsia="zh-CN"/>
        </w:rPr>
        <w:t>申请人可以通过线上、线下等方式提出行政许可申请。</w:t>
      </w:r>
    </w:p>
    <w:p w14:paraId="1ED46C99">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lang w:val="en-US" w:eastAsia="zh-CN"/>
        </w:rPr>
        <w:t>申请人应当根据办事指南的指引，如实准确提交申请材料和反映真实情况，并对其申请材料内容的真实性负责。省林业局有权要求申请人提供申请材料真实性声明。</w:t>
      </w:r>
    </w:p>
    <w:p w14:paraId="793EA2E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lang w:val="en-US" w:eastAsia="zh-CN"/>
        </w:rPr>
        <w:t>申请人同时提交电子申请材料和纸质申请材料的，应当确保两者的一致性。</w:t>
      </w:r>
    </w:p>
    <w:p w14:paraId="1AE39B4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方正黑体_GBK" w:hAnsi="方正黑体_GBK" w:eastAsia="方正黑体_GBK" w:cs="方正黑体_GBK"/>
          <w:lang w:val="en-US" w:eastAsia="zh-CN"/>
        </w:rPr>
      </w:pPr>
      <w:r>
        <w:rPr>
          <w:rFonts w:hint="eastAsia"/>
          <w:lang w:val="en-US" w:eastAsia="zh-CN"/>
        </w:rPr>
        <w:t>申请人可以委托代理人提出行政许可申请，应当提供代理人的身份文件和授权委托书。</w:t>
      </w:r>
    </w:p>
    <w:p w14:paraId="18FCFF7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第十四条</w:t>
      </w:r>
      <w:r>
        <w:rPr>
          <w:rFonts w:hint="eastAsia"/>
        </w:rPr>
        <w:t xml:space="preserve">  窗口应当对照办事指南，在收到申请材料当天进行形式审查。发现申请材料存在错误，</w:t>
      </w:r>
      <w:r>
        <w:rPr>
          <w:rFonts w:hint="eastAsia"/>
          <w:lang w:val="en-US" w:eastAsia="zh-CN"/>
        </w:rPr>
        <w:t>有条件</w:t>
      </w:r>
      <w:r>
        <w:rPr>
          <w:rFonts w:hint="eastAsia"/>
        </w:rPr>
        <w:t>当场更正的，应当允许当场更正。</w:t>
      </w:r>
    </w:p>
    <w:p w14:paraId="48E36F5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申请事项属于省林业局职权范围，并通过形式审查的，窗口应当予以接收；申请事项依法不需要取得行政许可、不属于省林业局职权范围或者没有通过形式审查的，窗口不予接收，并</w:t>
      </w:r>
      <w:r>
        <w:rPr>
          <w:rFonts w:hint="eastAsia"/>
          <w:lang w:val="en-US" w:eastAsia="zh-CN"/>
        </w:rPr>
        <w:t>及时</w:t>
      </w:r>
      <w:r>
        <w:rPr>
          <w:rFonts w:hint="eastAsia"/>
        </w:rPr>
        <w:t>告知申请人或者其代理人。</w:t>
      </w:r>
    </w:p>
    <w:p w14:paraId="7F5661BD">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rPr>
        <w:t>窗口应当于接收申请材料的当天将申请材料通过线上流转至下一环节。收到纸质申请材料的，窗口应当</w:t>
      </w:r>
      <w:r>
        <w:rPr>
          <w:rFonts w:hint="eastAsia"/>
          <w:lang w:val="en-US" w:eastAsia="zh-CN"/>
        </w:rPr>
        <w:t>于24小时内</w:t>
      </w:r>
      <w:r>
        <w:rPr>
          <w:rFonts w:hint="eastAsia"/>
        </w:rPr>
        <w:t>将纸质申请材料通过信函等方式转交承办单位；申请人或者其代理人要求亲自将纸质申请材料递交承办单位的，窗口要做好记录，并要求申请人或者其代理人签字确认。</w:t>
      </w:r>
    </w:p>
    <w:p w14:paraId="1D10B09E">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ascii="方正黑体_GBK" w:hAnsi="方正黑体_GBK" w:eastAsia="方正黑体_GBK" w:cs="方正黑体_GBK"/>
        </w:rPr>
        <w:t>第十五条</w:t>
      </w:r>
      <w:r>
        <w:rPr>
          <w:rFonts w:hint="eastAsia"/>
        </w:rPr>
        <w:t xml:space="preserve">  承办单位在对申请材料进行审核时，发现申请材料不完善或者不符合要求的，应当在收到申请材料之日起五日内一次性告知申请人需要补正的全部内容，逾期不告知的，自收到申请材料之日起即视为受理。</w:t>
      </w:r>
    </w:p>
    <w:p w14:paraId="2FDDEC62">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第十六条</w:t>
      </w:r>
      <w:r>
        <w:rPr>
          <w:rFonts w:hint="eastAsia"/>
        </w:rPr>
        <w:t xml:space="preserve">  申请事项属于省林业局职权范围，申请材料齐全、符合法定形式，或者申请人按照承办单位要求提交全部补正申请材料的，承办单位应当受理行政许可申请。</w:t>
      </w:r>
    </w:p>
    <w:p w14:paraId="0DF8F3B4">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p>
    <w:p w14:paraId="1EB17918">
      <w:pPr>
        <w:keepNext w:val="0"/>
        <w:keepLines w:val="0"/>
        <w:pageBreakBefore w:val="0"/>
        <w:widowControl w:val="0"/>
        <w:kinsoku/>
        <w:wordWrap/>
        <w:overflowPunct/>
        <w:topLinePunct w:val="0"/>
        <w:autoSpaceDE w:val="0"/>
        <w:autoSpaceDN w:val="0"/>
        <w:bidi w:val="0"/>
        <w:adjustRightInd/>
        <w:snapToGrid w:val="0"/>
        <w:spacing w:line="560" w:lineRule="exact"/>
        <w:ind w:firstLine="0" w:firstLineChars="0"/>
        <w:jc w:val="center"/>
        <w:textAlignment w:val="auto"/>
        <w:rPr>
          <w:rFonts w:hint="eastAsia"/>
        </w:rPr>
      </w:pPr>
      <w:r>
        <w:rPr>
          <w:rFonts w:hint="eastAsia" w:ascii="方正楷体_GBK" w:hAnsi="方正楷体_GBK" w:eastAsia="方正楷体_GBK" w:cs="方正楷体_GBK"/>
        </w:rPr>
        <w:t>第二节</w:t>
      </w:r>
      <w:r>
        <w:rPr>
          <w:rFonts w:hint="eastAsia" w:ascii="方正楷体_GBK" w:hAnsi="方正楷体_GBK" w:eastAsia="方正楷体_GBK" w:cs="方正楷体_GBK"/>
          <w:lang w:val="en-US" w:eastAsia="zh-CN"/>
        </w:rPr>
        <w:t xml:space="preserve"> </w:t>
      </w:r>
      <w:r>
        <w:rPr>
          <w:rFonts w:hint="eastAsia" w:ascii="方正楷体_GBK" w:hAnsi="方正楷体_GBK" w:eastAsia="方正楷体_GBK" w:cs="方正楷体_GBK"/>
        </w:rPr>
        <w:t>审查、决定与送达</w:t>
      </w:r>
    </w:p>
    <w:p w14:paraId="1EDD42E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第十七条</w:t>
      </w:r>
      <w:r>
        <w:rPr>
          <w:rFonts w:hint="eastAsia"/>
        </w:rPr>
        <w:t xml:space="preserve">  承办单位需要对申请材料的实质内容进行核实的，应当指派两名以上工作人员，根据法定条件和程序进行核查。</w:t>
      </w:r>
    </w:p>
    <w:p w14:paraId="490E189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ascii="方正黑体_GBK" w:hAnsi="方正黑体_GBK" w:eastAsia="方正黑体_GBK" w:cs="方正黑体_GBK"/>
        </w:rPr>
      </w:pPr>
      <w:r>
        <w:rPr>
          <w:rFonts w:hint="eastAsia"/>
        </w:rPr>
        <w:t>承办单位在审查过程中，依照法律法规</w:t>
      </w:r>
      <w:r>
        <w:rPr>
          <w:rFonts w:hint="eastAsia"/>
          <w:lang w:val="en-US" w:eastAsia="zh-CN"/>
        </w:rPr>
        <w:t>等</w:t>
      </w:r>
      <w:r>
        <w:rPr>
          <w:rFonts w:hint="eastAsia"/>
        </w:rPr>
        <w:t>的规定需要听证、招标、拍卖、检验、检测、检疫、鉴定和专家评审的，应当及时启动实施相关工作。</w:t>
      </w:r>
    </w:p>
    <w:p w14:paraId="499F6E04">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第十八条</w:t>
      </w:r>
      <w:r>
        <w:rPr>
          <w:rFonts w:hint="eastAsia"/>
        </w:rPr>
        <w:t xml:space="preserve">  承办单位发现行政许可事项直接关系他人重大利益的，应当告知该利害关系人。</w:t>
      </w:r>
    </w:p>
    <w:p w14:paraId="68128F6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rPr>
        <w:t>申请人、利害关系人有权进行陈述和申辩，并自被告知之日起三日内提交书面陈述、申辩意见；承办单位应当充分听取申请人、利害关系人的意见。</w:t>
      </w:r>
    </w:p>
    <w:p w14:paraId="0B9D2AE9">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第十九条</w:t>
      </w:r>
      <w:r>
        <w:rPr>
          <w:rFonts w:hint="eastAsia"/>
        </w:rPr>
        <w:t xml:space="preserve">  承办单位对行政许可申请进行审查后，应当根据下列情况分别作出处理：</w:t>
      </w:r>
    </w:p>
    <w:p w14:paraId="1DAC442F">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（一）申请符合法定条件、标准，拟准予行政许可的，应当拟定准予行政许可决定，交省林业局主要负责人或者分管负责人审签。</w:t>
      </w:r>
    </w:p>
    <w:p w14:paraId="498E5F01">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rPr>
        <w:t>（二）申请不符合法定条件、标准，拟不予行政许可的，应当拟定不予行政许可决定，交省林业局主要负责人或者分管负责人审签。</w:t>
      </w:r>
    </w:p>
    <w:p w14:paraId="7C61C07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第二十条</w:t>
      </w:r>
      <w:r>
        <w:rPr>
          <w:rFonts w:hint="eastAsia"/>
        </w:rPr>
        <w:t xml:space="preserve">  承办单位应当根据审签意见及时制作许可文书（证件）并加盖印章后送达申请人。</w:t>
      </w:r>
    </w:p>
    <w:p w14:paraId="5AE4C32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准予行政许可决定书应当明确行政许可的效力范围、生效日期、有效期限、变更以及延续方式等事项。</w:t>
      </w:r>
    </w:p>
    <w:p w14:paraId="30247D52">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rPr>
        <w:t>不予行政许可决定书应当说明不予行政许可的理由，并告知申请人享有依法申请行政复议或者提起行政诉讼的权利</w:t>
      </w:r>
      <w:r>
        <w:t>。</w:t>
      </w:r>
    </w:p>
    <w:p w14:paraId="4C0923F0">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p>
    <w:p w14:paraId="2D90AA25">
      <w:pPr>
        <w:keepNext w:val="0"/>
        <w:keepLines w:val="0"/>
        <w:pageBreakBefore w:val="0"/>
        <w:widowControl w:val="0"/>
        <w:kinsoku/>
        <w:wordWrap/>
        <w:overflowPunct/>
        <w:topLinePunct w:val="0"/>
        <w:autoSpaceDE w:val="0"/>
        <w:autoSpaceDN w:val="0"/>
        <w:bidi w:val="0"/>
        <w:adjustRightInd/>
        <w:snapToGrid w:val="0"/>
        <w:spacing w:line="560" w:lineRule="exact"/>
        <w:ind w:firstLine="0" w:firstLineChars="0"/>
        <w:jc w:val="center"/>
        <w:textAlignment w:val="auto"/>
      </w:pPr>
      <w:r>
        <w:rPr>
          <w:rFonts w:hint="eastAsia" w:ascii="方正楷体_GBK" w:hAnsi="方正楷体_GBK" w:eastAsia="方正楷体_GBK" w:cs="方正楷体_GBK"/>
        </w:rPr>
        <w:t>第三节 期限</w:t>
      </w:r>
    </w:p>
    <w:p w14:paraId="6F5A8F61">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第二十一条</w:t>
      </w:r>
      <w:r>
        <w:rPr>
          <w:rFonts w:hint="eastAsia"/>
        </w:rPr>
        <w:t xml:space="preserve">  承办单位办理行政许可事项应当明确承诺办理期限，承诺办理期限不得大于法定办理期限。在承诺期限内不能作出行政许可决定的，经省林业局主要负责人或者分管负责人批准，可以延长十日，承办单位应当将延长期限的理由书面告知申请人。</w:t>
      </w:r>
      <w:r>
        <w:rPr>
          <w:rFonts w:hint="eastAsia"/>
          <w:lang w:eastAsia="zh-CN"/>
        </w:rPr>
        <w:t>法律法规</w:t>
      </w:r>
      <w:r>
        <w:rPr>
          <w:rFonts w:hint="eastAsia"/>
        </w:rPr>
        <w:t>另有规定的，依照其规定。</w:t>
      </w:r>
    </w:p>
    <w:p w14:paraId="1811C8F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ascii="方正黑体_GBK" w:hAnsi="方正黑体_GBK" w:eastAsia="方正黑体_GBK" w:cs="方正黑体_GBK"/>
        </w:rPr>
      </w:pPr>
      <w:r>
        <w:rPr>
          <w:rFonts w:hint="eastAsia"/>
        </w:rPr>
        <w:t>在作出行政许可决定前，依法需要听证、招标、拍卖、检验、检测、检疫、鉴定和专家评审的，所需时间不计入审批时限内，但承办单位应当将所需时间书面告知申请人。</w:t>
      </w:r>
    </w:p>
    <w:p w14:paraId="755B1027">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ascii="方正黑体_GBK" w:hAnsi="方正黑体_GBK" w:eastAsia="方正黑体_GBK" w:cs="方正黑体_GBK"/>
        </w:rPr>
        <w:t>第二十</w:t>
      </w:r>
      <w:r>
        <w:rPr>
          <w:rFonts w:hint="eastAsia" w:ascii="方正黑体_GBK" w:hAnsi="方正黑体_GBK" w:eastAsia="方正黑体_GBK" w:cs="方正黑体_GBK"/>
          <w:lang w:val="en-US" w:eastAsia="zh-CN"/>
        </w:rPr>
        <w:t>二</w:t>
      </w:r>
      <w:r>
        <w:rPr>
          <w:rFonts w:hint="eastAsia" w:ascii="方正黑体_GBK" w:hAnsi="方正黑体_GBK" w:eastAsia="方正黑体_GBK" w:cs="方正黑体_GBK"/>
        </w:rPr>
        <w:t>条</w:t>
      </w:r>
      <w:r>
        <w:rPr>
          <w:rFonts w:hint="eastAsia"/>
        </w:rPr>
        <w:t xml:space="preserve">  </w:t>
      </w:r>
      <w:r>
        <w:rPr>
          <w:rFonts w:hint="eastAsia"/>
          <w:lang w:val="en-US" w:eastAsia="zh-CN"/>
        </w:rPr>
        <w:t>承办单位应当自作出行政许可决定之日起十日内向申请人颁发、送达许可文书（证件），或者加贴标签，加盖检验、检测、检疫印章。</w:t>
      </w:r>
    </w:p>
    <w:p w14:paraId="03304FC9">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p>
    <w:p w14:paraId="3CD388E9">
      <w:pPr>
        <w:keepNext w:val="0"/>
        <w:keepLines w:val="0"/>
        <w:pageBreakBefore w:val="0"/>
        <w:widowControl w:val="0"/>
        <w:kinsoku/>
        <w:wordWrap/>
        <w:overflowPunct/>
        <w:topLinePunct w:val="0"/>
        <w:autoSpaceDE w:val="0"/>
        <w:autoSpaceDN w:val="0"/>
        <w:bidi w:val="0"/>
        <w:adjustRightInd/>
        <w:snapToGrid w:val="0"/>
        <w:spacing w:line="560" w:lineRule="exact"/>
        <w:ind w:firstLine="0" w:firstLineChars="0"/>
        <w:jc w:val="center"/>
        <w:textAlignment w:val="auto"/>
        <w:rPr>
          <w:rFonts w:hint="default" w:eastAsia="方正楷体_GBK"/>
          <w:lang w:val="en-US" w:eastAsia="zh-CN"/>
        </w:rPr>
      </w:pPr>
      <w:r>
        <w:rPr>
          <w:rFonts w:hint="eastAsia" w:ascii="方正楷体_GBK" w:hAnsi="方正楷体_GBK" w:eastAsia="方正楷体_GBK" w:cs="方正楷体_GBK"/>
        </w:rPr>
        <w:t>第四节 变更</w:t>
      </w:r>
      <w:r>
        <w:rPr>
          <w:rFonts w:hint="eastAsia" w:ascii="方正楷体_GBK" w:hAnsi="方正楷体_GBK" w:eastAsia="方正楷体_GBK" w:cs="方正楷体_GBK"/>
          <w:lang w:val="en-US" w:eastAsia="zh-CN"/>
        </w:rPr>
        <w:t>、</w:t>
      </w:r>
      <w:r>
        <w:rPr>
          <w:rFonts w:hint="eastAsia" w:ascii="方正楷体_GBK" w:hAnsi="方正楷体_GBK" w:eastAsia="方正楷体_GBK" w:cs="方正楷体_GBK"/>
        </w:rPr>
        <w:t>延续</w:t>
      </w:r>
      <w:r>
        <w:rPr>
          <w:rFonts w:hint="eastAsia" w:ascii="方正楷体_GBK" w:hAnsi="方正楷体_GBK" w:eastAsia="方正楷体_GBK" w:cs="方正楷体_GBK"/>
          <w:lang w:eastAsia="zh-CN"/>
        </w:rPr>
        <w:t>、</w:t>
      </w:r>
      <w:r>
        <w:rPr>
          <w:rFonts w:hint="eastAsia" w:ascii="方正楷体_GBK" w:hAnsi="方正楷体_GBK" w:eastAsia="方正楷体_GBK" w:cs="方正楷体_GBK"/>
          <w:lang w:val="en-US" w:eastAsia="zh-CN"/>
        </w:rPr>
        <w:t>撤销与注销</w:t>
      </w:r>
    </w:p>
    <w:p w14:paraId="489D4EA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第二十</w:t>
      </w:r>
      <w:r>
        <w:rPr>
          <w:rFonts w:hint="eastAsia" w:ascii="方正黑体_GBK" w:hAnsi="方正黑体_GBK" w:eastAsia="方正黑体_GBK" w:cs="方正黑体_GBK"/>
          <w:lang w:val="en-US" w:eastAsia="zh-CN"/>
        </w:rPr>
        <w:t>三</w:t>
      </w:r>
      <w:r>
        <w:rPr>
          <w:rFonts w:hint="eastAsia" w:ascii="方正黑体_GBK" w:hAnsi="方正黑体_GBK" w:eastAsia="方正黑体_GBK" w:cs="方正黑体_GBK"/>
        </w:rPr>
        <w:t>条</w:t>
      </w:r>
      <w:r>
        <w:rPr>
          <w:rFonts w:hint="eastAsia"/>
        </w:rPr>
        <w:t xml:space="preserve">  被许可人</w:t>
      </w:r>
      <w:r>
        <w:rPr>
          <w:rFonts w:hint="eastAsia"/>
          <w:lang w:val="en-US" w:eastAsia="zh-CN"/>
        </w:rPr>
        <w:t>要求</w:t>
      </w:r>
      <w:r>
        <w:rPr>
          <w:rFonts w:hint="eastAsia"/>
        </w:rPr>
        <w:t>变更行政许可</w:t>
      </w:r>
      <w:r>
        <w:rPr>
          <w:rFonts w:hint="eastAsia"/>
          <w:lang w:val="en-US" w:eastAsia="zh-CN"/>
        </w:rPr>
        <w:t>事项的</w:t>
      </w:r>
      <w:r>
        <w:rPr>
          <w:rFonts w:hint="eastAsia"/>
        </w:rPr>
        <w:t>，符合法定条件、标准的，</w:t>
      </w:r>
      <w:r>
        <w:rPr>
          <w:rFonts w:hint="eastAsia"/>
          <w:lang w:val="en-US" w:eastAsia="zh-CN"/>
        </w:rPr>
        <w:t>省林业局</w:t>
      </w:r>
      <w:r>
        <w:rPr>
          <w:rFonts w:hint="eastAsia"/>
        </w:rPr>
        <w:t>应当依法办理变更手续。</w:t>
      </w:r>
    </w:p>
    <w:p w14:paraId="7A32158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第二十</w:t>
      </w:r>
      <w:r>
        <w:rPr>
          <w:rFonts w:hint="eastAsia" w:ascii="方正黑体_GBK" w:hAnsi="方正黑体_GBK" w:eastAsia="方正黑体_GBK" w:cs="方正黑体_GBK"/>
          <w:lang w:val="en-US" w:eastAsia="zh-CN"/>
        </w:rPr>
        <w:t>四</w:t>
      </w:r>
      <w:r>
        <w:rPr>
          <w:rFonts w:hint="eastAsia" w:ascii="方正黑体_GBK" w:hAnsi="方正黑体_GBK" w:eastAsia="方正黑体_GBK" w:cs="方正黑体_GBK"/>
        </w:rPr>
        <w:t>条</w:t>
      </w:r>
      <w:r>
        <w:rPr>
          <w:rFonts w:hint="eastAsia"/>
        </w:rPr>
        <w:t xml:space="preserve">  被许可人需要延续行政许可有效期的，应当在该行政许可有效期届满三十日前提出申请。但</w:t>
      </w:r>
      <w:r>
        <w:rPr>
          <w:rFonts w:hint="eastAsia"/>
          <w:lang w:eastAsia="zh-CN"/>
        </w:rPr>
        <w:t>法律法规</w:t>
      </w:r>
      <w:r>
        <w:rPr>
          <w:rFonts w:hint="eastAsia"/>
        </w:rPr>
        <w:t>、规章另有规定的，依照其规定。</w:t>
      </w:r>
    </w:p>
    <w:p w14:paraId="07A8FDCC">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承办单位应当根据被许可人的申请，按照</w:t>
      </w:r>
      <w:r>
        <w:rPr>
          <w:rFonts w:hint="eastAsia"/>
          <w:lang w:eastAsia="zh-CN"/>
        </w:rPr>
        <w:t>法律法规</w:t>
      </w:r>
      <w:r>
        <w:rPr>
          <w:rFonts w:hint="eastAsia"/>
        </w:rPr>
        <w:t>、规章规定的行政许可条件，综合被许可人在该行政许可有效期内从事许可活动的情况，及时拟定是否准予延续的决定，交省林业局主要负责人或者分管负责人审签</w:t>
      </w:r>
      <w:r>
        <w:rPr>
          <w:rFonts w:hint="eastAsia"/>
          <w:lang w:eastAsia="zh-CN"/>
        </w:rPr>
        <w:t>。</w:t>
      </w:r>
      <w:r>
        <w:rPr>
          <w:rFonts w:hint="eastAsia"/>
          <w:lang w:val="en-US" w:eastAsia="zh-CN"/>
        </w:rPr>
        <w:t>省林业局应当</w:t>
      </w:r>
      <w:r>
        <w:rPr>
          <w:rFonts w:hint="eastAsia"/>
        </w:rPr>
        <w:t>在该行政许可有效期届满前作出是否准予延续的决定</w:t>
      </w:r>
      <w:r>
        <w:rPr>
          <w:rFonts w:hint="eastAsia"/>
          <w:lang w:eastAsia="zh-CN"/>
        </w:rPr>
        <w:t>，</w:t>
      </w:r>
      <w:r>
        <w:rPr>
          <w:rFonts w:hint="eastAsia"/>
        </w:rPr>
        <w:t>逾期未作决定的，视为准予延续。</w:t>
      </w:r>
    </w:p>
    <w:p w14:paraId="0CEE6C89">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黑体" w:hAnsi="黑体" w:eastAsia="黑体" w:cs="黑体"/>
        </w:rPr>
        <w:t>第</w:t>
      </w:r>
      <w:r>
        <w:rPr>
          <w:rFonts w:hint="eastAsia" w:ascii="黑体" w:hAnsi="黑体" w:eastAsia="黑体" w:cs="黑体"/>
          <w:lang w:val="en-US" w:eastAsia="zh-CN"/>
        </w:rPr>
        <w:t>二十五</w:t>
      </w:r>
      <w:r>
        <w:rPr>
          <w:rFonts w:hint="eastAsia" w:ascii="黑体" w:hAnsi="黑体" w:eastAsia="黑体" w:cs="黑体"/>
        </w:rPr>
        <w:t>条</w:t>
      </w:r>
      <w:r>
        <w:rPr>
          <w:rFonts w:hint="eastAsia"/>
          <w:lang w:val="en-US" w:eastAsia="zh-CN"/>
        </w:rPr>
        <w:t xml:space="preserve">  </w:t>
      </w:r>
      <w:r>
        <w:rPr>
          <w:rFonts w:hint="eastAsia"/>
        </w:rPr>
        <w:t>有下列情形之一的，作出行政许可决定的行政机关或者其上级行政机关，根据利害关系人的请求或者依据职权，可以撤销行政许可：</w:t>
      </w:r>
    </w:p>
    <w:p w14:paraId="6C4887CC">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（一）行政机关工作人员滥用职权、玩忽职守作出准予行政许可决定的；</w:t>
      </w:r>
    </w:p>
    <w:p w14:paraId="0B5DA1E2">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（二）超越法定职权作出准予行政许可决定的；</w:t>
      </w:r>
    </w:p>
    <w:p w14:paraId="25327EAF">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（三）违反法定程序作出准予行政许可决定的；</w:t>
      </w:r>
    </w:p>
    <w:p w14:paraId="20B8D1AE">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（四）对不具备申请资格或者不符合法定条件的申请人准予行政许可的；</w:t>
      </w:r>
    </w:p>
    <w:p w14:paraId="278A5FA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（五）依法可以撤销行政许可的其他情形。</w:t>
      </w:r>
    </w:p>
    <w:p w14:paraId="308A31F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被许可人以欺骗、贿赂等不正当手段取得行政许可的，应当予以撤销。</w:t>
      </w:r>
    </w:p>
    <w:p w14:paraId="54213E0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依照前两款的规定撤销行政许可，可能对公共利益造成重大损害的，不予撤销。</w:t>
      </w:r>
    </w:p>
    <w:p w14:paraId="05840D2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依照本条第一款的规定撤销行政许可，被许可人的合法权益受到损害的，行政机关应当依法给予赔偿。依照本条第二款的规定撤销行政许可的，被许可人基于行政许可取得的利益不受保护。</w:t>
      </w:r>
    </w:p>
    <w:p w14:paraId="6861FE62">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黑体" w:hAnsi="黑体" w:eastAsia="黑体" w:cs="黑体"/>
          <w:lang w:val="en-US" w:eastAsia="zh-CN"/>
        </w:rPr>
        <w:t>第二十六条</w:t>
      </w:r>
      <w:r>
        <w:rPr>
          <w:rFonts w:hint="eastAsia"/>
          <w:lang w:val="en-US" w:eastAsia="zh-CN"/>
        </w:rPr>
        <w:t xml:space="preserve">  有</w:t>
      </w:r>
      <w:r>
        <w:rPr>
          <w:rFonts w:hint="eastAsia"/>
        </w:rPr>
        <w:t>下列情形之一的，行政机关应当依法办理有关行政许可的注销手续：</w:t>
      </w:r>
    </w:p>
    <w:p w14:paraId="2B04AC6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（一）行政许可有效期届满未延续的；</w:t>
      </w:r>
    </w:p>
    <w:p w14:paraId="392427EB">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（二）赋予公民特定资格的行政许可，该公民死亡或者丧失行为能力的；</w:t>
      </w:r>
    </w:p>
    <w:p w14:paraId="273BA469">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（三）法人或者其他组织依法终止的；</w:t>
      </w:r>
    </w:p>
    <w:p w14:paraId="74630F54">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（四）行政许可依法被撤销、撤回，或者行政许可证件依法被吊销的；</w:t>
      </w:r>
    </w:p>
    <w:p w14:paraId="3C528664">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（五）因不可抗力导致行政许可事项无法实施的；</w:t>
      </w:r>
    </w:p>
    <w:p w14:paraId="0331B2E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（六）法律、法规规定的应当注销行政许可的其他情形。</w:t>
      </w:r>
    </w:p>
    <w:p w14:paraId="3AA0A25D">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p>
    <w:p w14:paraId="674C23A5">
      <w:pPr>
        <w:keepNext w:val="0"/>
        <w:keepLines w:val="0"/>
        <w:pageBreakBefore w:val="0"/>
        <w:widowControl w:val="0"/>
        <w:kinsoku/>
        <w:wordWrap/>
        <w:overflowPunct/>
        <w:topLinePunct w:val="0"/>
        <w:autoSpaceDE w:val="0"/>
        <w:autoSpaceDN w:val="0"/>
        <w:bidi w:val="0"/>
        <w:adjustRightInd/>
        <w:snapToGrid w:val="0"/>
        <w:spacing w:line="560" w:lineRule="exact"/>
        <w:ind w:firstLine="0" w:firstLineChars="0"/>
        <w:jc w:val="center"/>
        <w:textAlignment w:val="auto"/>
        <w:rPr>
          <w:rFonts w:hint="eastAsia"/>
        </w:rPr>
      </w:pPr>
      <w:r>
        <w:rPr>
          <w:rFonts w:hint="eastAsia" w:ascii="方正楷体_GBK" w:hAnsi="方正楷体_GBK" w:eastAsia="方正楷体_GBK" w:cs="方正楷体_GBK"/>
        </w:rPr>
        <w:t>第五节 其他规定</w:t>
      </w:r>
    </w:p>
    <w:p w14:paraId="77D93424">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第二十</w:t>
      </w:r>
      <w:r>
        <w:rPr>
          <w:rFonts w:hint="eastAsia" w:ascii="方正黑体_GBK" w:hAnsi="方正黑体_GBK" w:eastAsia="方正黑体_GBK" w:cs="方正黑体_GBK"/>
          <w:lang w:val="en-US" w:eastAsia="zh-CN"/>
        </w:rPr>
        <w:t>七</w:t>
      </w:r>
      <w:r>
        <w:rPr>
          <w:rFonts w:hint="eastAsia" w:ascii="方正黑体_GBK" w:hAnsi="方正黑体_GBK" w:eastAsia="方正黑体_GBK" w:cs="方正黑体_GBK"/>
        </w:rPr>
        <w:t>条</w:t>
      </w:r>
      <w:r>
        <w:rPr>
          <w:rFonts w:hint="eastAsia"/>
        </w:rPr>
        <w:t xml:space="preserve">  行政许可决定书应当</w:t>
      </w:r>
      <w:r>
        <w:rPr>
          <w:rFonts w:hint="eastAsia"/>
          <w:lang w:val="en-US" w:eastAsia="zh-CN"/>
        </w:rPr>
        <w:t>规范</w:t>
      </w:r>
      <w:r>
        <w:rPr>
          <w:rFonts w:hint="eastAsia"/>
        </w:rPr>
        <w:t>格式和</w:t>
      </w:r>
      <w:r>
        <w:rPr>
          <w:rFonts w:hint="eastAsia"/>
          <w:lang w:val="en-US" w:eastAsia="zh-CN"/>
        </w:rPr>
        <w:t>发文字号</w:t>
      </w:r>
      <w:r>
        <w:rPr>
          <w:rFonts w:hint="eastAsia"/>
        </w:rPr>
        <w:t>。</w:t>
      </w:r>
    </w:p>
    <w:p w14:paraId="6B4D8C4F">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省林业局行政许可决定书（证件），应当加盖“江苏省林业局行政许可专用章”后生效。</w:t>
      </w:r>
    </w:p>
    <w:p w14:paraId="4582F02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省林业局实际实施的“勘查、开采矿藏和各项建设工程占用或者征收、征用林地审核”事项颁发的行政许可决定书</w:t>
      </w:r>
      <w:r>
        <w:rPr>
          <w:rFonts w:hint="eastAsia"/>
          <w:lang w:val="en-US" w:eastAsia="zh-CN"/>
        </w:rPr>
        <w:t>应当</w:t>
      </w:r>
      <w:r>
        <w:rPr>
          <w:rFonts w:hint="eastAsia"/>
        </w:rPr>
        <w:t>加盖“江苏省林业局林地管理专用章”后生效。</w:t>
      </w:r>
    </w:p>
    <w:p w14:paraId="5A088F6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jc w:val="both"/>
        <w:textAlignment w:val="auto"/>
        <w:rPr>
          <w:rFonts w:hint="eastAsia"/>
        </w:rPr>
      </w:pPr>
      <w:r>
        <w:rPr>
          <w:rFonts w:hint="eastAsia" w:ascii="方正黑体_GBK" w:hAnsi="方正黑体_GBK" w:eastAsia="方正黑体_GBK" w:cs="方正黑体_GBK"/>
        </w:rPr>
        <w:t>第二十</w:t>
      </w:r>
      <w:r>
        <w:rPr>
          <w:rFonts w:hint="eastAsia" w:ascii="方正黑体_GBK" w:hAnsi="方正黑体_GBK" w:eastAsia="方正黑体_GBK" w:cs="方正黑体_GBK"/>
          <w:lang w:val="en-US" w:eastAsia="zh-CN"/>
        </w:rPr>
        <w:t>八</w:t>
      </w:r>
      <w:r>
        <w:rPr>
          <w:rFonts w:hint="eastAsia" w:ascii="方正黑体_GBK" w:hAnsi="方正黑体_GBK" w:eastAsia="方正黑体_GBK" w:cs="方正黑体_GBK"/>
        </w:rPr>
        <w:t>条</w:t>
      </w:r>
      <w:r>
        <w:rPr>
          <w:rFonts w:hint="eastAsia"/>
        </w:rPr>
        <w:t xml:space="preserve">  在线上流转的符合相关要求的电子化申请材料、行政许可决定书（证件）等与纸质材料具有同等法律效力。</w:t>
      </w:r>
    </w:p>
    <w:p w14:paraId="08CF7C6C">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jc w:val="both"/>
        <w:textAlignment w:val="auto"/>
        <w:rPr>
          <w:rFonts w:hint="eastAsia"/>
        </w:rPr>
      </w:pPr>
      <w:r>
        <w:rPr>
          <w:rFonts w:hint="eastAsia"/>
        </w:rPr>
        <w:t>行政许可实施各环节责任人不得以没有收到纸质申请材料为由，拒绝或者延缓办理。</w:t>
      </w:r>
    </w:p>
    <w:p w14:paraId="1037D1A2">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jc w:val="both"/>
        <w:textAlignment w:val="auto"/>
        <w:rPr>
          <w:rFonts w:hint="eastAsia"/>
        </w:rPr>
      </w:pPr>
    </w:p>
    <w:p w14:paraId="6FEA2915">
      <w:pPr>
        <w:keepNext w:val="0"/>
        <w:keepLines w:val="0"/>
        <w:pageBreakBefore w:val="0"/>
        <w:widowControl w:val="0"/>
        <w:kinsoku/>
        <w:wordWrap/>
        <w:overflowPunct/>
        <w:topLinePunct w:val="0"/>
        <w:autoSpaceDE w:val="0"/>
        <w:autoSpaceDN w:val="0"/>
        <w:bidi w:val="0"/>
        <w:adjustRightInd/>
        <w:snapToGrid w:val="0"/>
        <w:spacing w:line="560" w:lineRule="exact"/>
        <w:ind w:firstLine="0" w:firstLineChars="0"/>
        <w:jc w:val="center"/>
        <w:textAlignment w:val="auto"/>
        <w:rPr>
          <w:rFonts w:hint="eastAsia"/>
        </w:rPr>
      </w:pPr>
      <w:r>
        <w:rPr>
          <w:rFonts w:hint="eastAsia" w:ascii="方正黑体_GBK" w:hAnsi="方正黑体_GBK" w:eastAsia="方正黑体_GBK" w:cs="方正黑体_GBK"/>
          <w:lang w:val="en-US" w:eastAsia="zh-CN"/>
        </w:rPr>
        <w:t>第四章  委托实施行政许可</w:t>
      </w:r>
    </w:p>
    <w:p w14:paraId="7692AF20">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rPr>
        <w:t>第二十</w:t>
      </w:r>
      <w:r>
        <w:rPr>
          <w:rFonts w:hint="eastAsia" w:ascii="方正黑体_GBK" w:hAnsi="方正黑体_GBK" w:eastAsia="方正黑体_GBK" w:cs="方正黑体_GBK"/>
          <w:lang w:val="en-US" w:eastAsia="zh-CN"/>
        </w:rPr>
        <w:t>九</w:t>
      </w:r>
      <w:r>
        <w:rPr>
          <w:rFonts w:hint="eastAsia" w:ascii="方正黑体_GBK" w:hAnsi="方正黑体_GBK" w:eastAsia="方正黑体_GBK" w:cs="方正黑体_GBK"/>
        </w:rPr>
        <w:t>条</w:t>
      </w:r>
      <w:r>
        <w:rPr>
          <w:rFonts w:hint="eastAsia"/>
        </w:rPr>
        <w:t xml:space="preserve"> </w:t>
      </w:r>
      <w:r>
        <w:rPr>
          <w:rFonts w:hint="eastAsia"/>
          <w:lang w:val="en-US" w:eastAsia="zh-CN"/>
        </w:rPr>
        <w:t xml:space="preserve"> </w:t>
      </w:r>
      <w:r>
        <w:rPr>
          <w:rFonts w:hint="eastAsia"/>
        </w:rPr>
        <w:t>设区市人民政府林业主管部门等行政机关（以下</w:t>
      </w:r>
      <w:r>
        <w:rPr>
          <w:rFonts w:hint="eastAsia"/>
          <w:lang w:val="en-US" w:eastAsia="zh-CN"/>
        </w:rPr>
        <w:t>简称</w:t>
      </w:r>
      <w:r>
        <w:rPr>
          <w:rFonts w:hint="eastAsia"/>
        </w:rPr>
        <w:t>“基层受委托机关”）</w:t>
      </w:r>
      <w:r>
        <w:rPr>
          <w:rFonts w:hint="eastAsia"/>
          <w:lang w:val="en-US" w:eastAsia="zh-CN"/>
        </w:rPr>
        <w:t>依法受省林业局委托，</w:t>
      </w:r>
      <w:r>
        <w:rPr>
          <w:rFonts w:hint="eastAsia"/>
        </w:rPr>
        <w:t>以省林业局名义实施行政许可，不得再委托其他行政机关或者组织实施行政许可。</w:t>
      </w:r>
    </w:p>
    <w:p w14:paraId="02C3A3A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省林业局应当与基层受委托机关签订《委托书》。《委托书》应当载明但不限于委托机关和受委托机关的名称、双方的权利和义务、委托事项、委托依据、委托范围、委托权限、委托期限、事中事后监管措施、档案管理及报送方式等内容。</w:t>
      </w:r>
    </w:p>
    <w:p w14:paraId="7B6D60DC">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eastAsia="方正仿宋_GBK"/>
          <w:lang w:val="en-US" w:eastAsia="zh-CN"/>
        </w:rPr>
      </w:pPr>
      <w:r>
        <w:rPr>
          <w:rFonts w:hint="eastAsia"/>
          <w:lang w:val="en-US" w:eastAsia="zh-CN"/>
        </w:rPr>
        <w:t>省林业局统一规范行政许可决定书格式和发文字号；统一配发“江苏省林业局行政许可专用章”。</w:t>
      </w:r>
      <w:bookmarkStart w:id="0" w:name="_GoBack"/>
      <w:bookmarkEnd w:id="0"/>
    </w:p>
    <w:p w14:paraId="3A4AE507">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lang w:val="en-US" w:eastAsia="zh-CN"/>
        </w:rPr>
        <w:t>第三十条</w:t>
      </w:r>
      <w:r>
        <w:rPr>
          <w:rFonts w:hint="default"/>
          <w:lang w:val="en-US" w:eastAsia="zh-CN"/>
        </w:rPr>
        <w:t> </w:t>
      </w:r>
      <w:r>
        <w:rPr>
          <w:rFonts w:hint="eastAsia"/>
          <w:lang w:val="en-US" w:eastAsia="zh-CN"/>
        </w:rPr>
        <w:t xml:space="preserve"> </w:t>
      </w:r>
      <w:r>
        <w:rPr>
          <w:rFonts w:hint="eastAsia"/>
        </w:rPr>
        <w:t>省林业局对基层受委托机关实施行政许可的行为应当负责监督，并对该行为的后果承担法律责任。</w:t>
      </w:r>
    </w:p>
    <w:p w14:paraId="5BE2773C">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省林业局对基层受委托机关开展行政许可工作应当予以经费支持，加强业务指导和培训。</w:t>
      </w:r>
    </w:p>
    <w:p w14:paraId="4255331E">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rPr>
        <w:t>省林业局应当依法对基层受委托机关实施行政许可的行为进行检查，及时纠正行政许可实施中的违法行为，必要时，可依法撤销行政许可。</w:t>
      </w:r>
    </w:p>
    <w:p w14:paraId="59847B49">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eastAsia" w:ascii="方正黑体_GBK" w:hAnsi="方正黑体_GBK" w:eastAsia="方正黑体_GBK" w:cs="方正黑体_GBK"/>
          <w:lang w:val="en-US" w:eastAsia="zh-CN"/>
        </w:rPr>
        <w:t>第三十一条</w:t>
      </w:r>
      <w:r>
        <w:rPr>
          <w:rFonts w:hint="default"/>
          <w:lang w:val="en-US" w:eastAsia="zh-CN"/>
        </w:rPr>
        <w:t> </w:t>
      </w:r>
      <w:r>
        <w:rPr>
          <w:rFonts w:hint="eastAsia"/>
          <w:lang w:val="en-US" w:eastAsia="zh-CN"/>
        </w:rPr>
        <w:t xml:space="preserve"> </w:t>
      </w:r>
      <w:r>
        <w:rPr>
          <w:rFonts w:hint="default"/>
          <w:lang w:val="en-US" w:eastAsia="zh-CN"/>
        </w:rPr>
        <w:t>省林业局委托实施行政许可，应当以省林业局公告的形式向社会公布以下内容：</w:t>
      </w:r>
    </w:p>
    <w:p w14:paraId="7F781E82">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default"/>
          <w:lang w:val="en-US" w:eastAsia="zh-CN"/>
        </w:rPr>
        <w:t>（一）行政许可事项名称、委托权限、委托期限、办理指南（包括但不限于：基本信息、部门信息、窗口信息、受理标准、办理材料、办理流程、办理时限、收费情况、审批结果、法律依据、常见问题、咨询投诉、事中事后监管措施）；</w:t>
      </w:r>
    </w:p>
    <w:p w14:paraId="5C51EA6B">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default"/>
          <w:lang w:val="en-US" w:eastAsia="zh-CN"/>
        </w:rPr>
        <w:t>（二）省林业局的办公地址、咨询方式、监督投诉方式。</w:t>
      </w:r>
    </w:p>
    <w:p w14:paraId="190BB747">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ascii="方正黑体_GBK" w:hAnsi="方正黑体_GBK" w:eastAsia="方正黑体_GBK" w:cs="方正黑体_GBK"/>
          <w:lang w:val="en-US" w:eastAsia="zh-CN"/>
        </w:rPr>
        <w:t>第三十二条</w:t>
      </w:r>
      <w:r>
        <w:rPr>
          <w:rFonts w:hint="default"/>
          <w:lang w:val="en-US" w:eastAsia="zh-CN"/>
        </w:rPr>
        <w:t> </w:t>
      </w:r>
      <w:r>
        <w:rPr>
          <w:rFonts w:hint="eastAsia"/>
          <w:lang w:val="en-US" w:eastAsia="zh-CN"/>
        </w:rPr>
        <w:t xml:space="preserve"> </w:t>
      </w:r>
      <w:r>
        <w:rPr>
          <w:rFonts w:hint="default"/>
          <w:lang w:val="en-US" w:eastAsia="zh-CN"/>
        </w:rPr>
        <w:t>省林业局委托实施行政许可后，申请人应当向基层受委托机关提出申请。基层受委托机关应当按照《办事指南》规定的标准、条件和程序，依法受理、审查行政许可申请并作出行政许可决定。</w:t>
      </w:r>
      <w:r>
        <w:rPr>
          <w:rFonts w:hint="eastAsia"/>
          <w:lang w:val="en-US" w:eastAsia="zh-CN"/>
        </w:rPr>
        <w:t>其具体实施程序可以参照本办法第三章。</w:t>
      </w:r>
    </w:p>
    <w:p w14:paraId="1E3A983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eastAsia"/>
        </w:rPr>
        <w:t>基层受委托机关实施行政许可，</w:t>
      </w:r>
      <w:r>
        <w:rPr>
          <w:rFonts w:hint="eastAsia"/>
          <w:lang w:val="en-US" w:eastAsia="zh-CN"/>
        </w:rPr>
        <w:t>可以</w:t>
      </w:r>
      <w:r>
        <w:rPr>
          <w:rFonts w:hint="eastAsia"/>
        </w:rPr>
        <w:t>依托省林业局建设的政务服务信息化平台办理。</w:t>
      </w:r>
    </w:p>
    <w:p w14:paraId="218DCA00">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eastAsia" w:ascii="方正黑体_GBK" w:hAnsi="方正黑体_GBK" w:eastAsia="方正黑体_GBK" w:cs="方正黑体_GBK"/>
          <w:lang w:val="en-US" w:eastAsia="zh-CN"/>
        </w:rPr>
        <w:t>第三十三条</w:t>
      </w:r>
      <w:r>
        <w:rPr>
          <w:rFonts w:hint="default"/>
          <w:lang w:val="en-US" w:eastAsia="zh-CN"/>
        </w:rPr>
        <w:t> </w:t>
      </w:r>
      <w:r>
        <w:rPr>
          <w:rFonts w:hint="eastAsia"/>
          <w:lang w:val="en-US" w:eastAsia="zh-CN"/>
        </w:rPr>
        <w:t xml:space="preserve"> </w:t>
      </w:r>
      <w:r>
        <w:rPr>
          <w:rFonts w:hint="default"/>
          <w:lang w:val="en-US" w:eastAsia="zh-CN"/>
        </w:rPr>
        <w:t>基层受委托机关应当建立健全行政许可的档案管理及报送制度，并按照《委托书》的约定，将受委托实施的行政许可情况及有关文书（证件）复印件等报省林业局。</w:t>
      </w:r>
    </w:p>
    <w:p w14:paraId="15FDB84F">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eastAsia" w:ascii="方正黑体_GBK" w:hAnsi="方正黑体_GBK" w:eastAsia="方正黑体_GBK" w:cs="方正黑体_GBK"/>
          <w:lang w:val="en-US" w:eastAsia="zh-CN"/>
        </w:rPr>
        <w:t>第三十四条</w:t>
      </w:r>
      <w:r>
        <w:rPr>
          <w:rFonts w:hint="default"/>
          <w:lang w:val="en-US" w:eastAsia="zh-CN"/>
        </w:rPr>
        <w:t> </w:t>
      </w:r>
      <w:r>
        <w:rPr>
          <w:rFonts w:hint="eastAsia"/>
          <w:lang w:val="en-US" w:eastAsia="zh-CN"/>
        </w:rPr>
        <w:t xml:space="preserve"> </w:t>
      </w:r>
      <w:r>
        <w:rPr>
          <w:rFonts w:hint="default"/>
          <w:lang w:val="en-US" w:eastAsia="zh-CN"/>
        </w:rPr>
        <w:t>省林业局和基层受委托机关应当依法对被许可人从事的行政许可活动进行监督检查，并将监督检查的情况和处理结果予以记录归档。</w:t>
      </w:r>
    </w:p>
    <w:p w14:paraId="1B5C1E0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eastAsia" w:ascii="方正黑体_GBK" w:hAnsi="方正黑体_GBK" w:eastAsia="方正黑体_GBK" w:cs="方正黑体_GBK"/>
          <w:lang w:val="en-US" w:eastAsia="zh-CN"/>
        </w:rPr>
        <w:t xml:space="preserve">第三十五条 </w:t>
      </w:r>
      <w:r>
        <w:rPr>
          <w:rFonts w:hint="default"/>
          <w:lang w:val="en-US" w:eastAsia="zh-CN"/>
        </w:rPr>
        <w:t> 省林业局应该定期组织对基层受委托机关实施行政许可的行为进行评估。经评估存在不适宜继续进行委托的情况的，应当及时中止委托。</w:t>
      </w:r>
    </w:p>
    <w:p w14:paraId="42C268F9">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default"/>
          <w:lang w:val="en-US" w:eastAsia="zh-CN"/>
        </w:rPr>
        <w:t>一次委托时间一般不超过5年，在委托期限届满前6个月，省林业局应当根据委托实施情况，决定是否继续委托，继续委托的，应当和原受委托机关重新签订《委托书》。</w:t>
      </w:r>
    </w:p>
    <w:p w14:paraId="53B67A8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eastAsia" w:ascii="方正黑体_GBK" w:hAnsi="方正黑体_GBK" w:eastAsia="方正黑体_GBK" w:cs="方正黑体_GBK"/>
          <w:lang w:val="en-US" w:eastAsia="zh-CN"/>
        </w:rPr>
        <w:t xml:space="preserve">第三十六条 </w:t>
      </w:r>
      <w:r>
        <w:rPr>
          <w:rFonts w:hint="default"/>
          <w:lang w:val="en-US" w:eastAsia="zh-CN"/>
        </w:rPr>
        <w:t> 行政许可委托存在变更、中止或者终止的，省林业局应当及时向社会公告。</w:t>
      </w:r>
    </w:p>
    <w:p w14:paraId="762EA93D">
      <w:pPr>
        <w:keepNext w:val="0"/>
        <w:keepLines w:val="0"/>
        <w:pageBreakBefore w:val="0"/>
        <w:widowControl w:val="0"/>
        <w:kinsoku/>
        <w:wordWrap/>
        <w:overflowPunct/>
        <w:topLinePunct w:val="0"/>
        <w:autoSpaceDE w:val="0"/>
        <w:autoSpaceDN w:val="0"/>
        <w:bidi w:val="0"/>
        <w:adjustRightInd/>
        <w:snapToGrid w:val="0"/>
        <w:spacing w:line="560" w:lineRule="exact"/>
        <w:ind w:firstLine="0" w:firstLineChars="0"/>
        <w:jc w:val="center"/>
        <w:textAlignment w:val="auto"/>
        <w:rPr>
          <w:rFonts w:hint="eastAsia" w:ascii="方正黑体_GBK" w:hAnsi="方正黑体_GBK" w:eastAsia="方正黑体_GBK" w:cs="方正黑体_GBK"/>
        </w:rPr>
      </w:pPr>
    </w:p>
    <w:p w14:paraId="19CF2C66">
      <w:pPr>
        <w:keepNext w:val="0"/>
        <w:keepLines w:val="0"/>
        <w:pageBreakBefore w:val="0"/>
        <w:widowControl w:val="0"/>
        <w:kinsoku/>
        <w:wordWrap/>
        <w:overflowPunct/>
        <w:topLinePunct w:val="0"/>
        <w:autoSpaceDE w:val="0"/>
        <w:autoSpaceDN w:val="0"/>
        <w:bidi w:val="0"/>
        <w:adjustRightInd/>
        <w:snapToGrid w:val="0"/>
        <w:spacing w:line="560" w:lineRule="exact"/>
        <w:ind w:firstLine="0" w:firstLineChars="0"/>
        <w:jc w:val="center"/>
        <w:textAlignment w:val="auto"/>
        <w:rPr>
          <w:rFonts w:hint="default"/>
          <w:lang w:val="en-US" w:eastAsia="zh-CN"/>
        </w:rPr>
      </w:pPr>
      <w:r>
        <w:rPr>
          <w:rFonts w:hint="eastAsia" w:ascii="方正黑体_GBK" w:hAnsi="方正黑体_GBK" w:eastAsia="方正黑体_GBK" w:cs="方正黑体_GBK"/>
        </w:rPr>
        <w:t>第</w:t>
      </w:r>
      <w:r>
        <w:rPr>
          <w:rFonts w:hint="eastAsia" w:ascii="方正黑体_GBK" w:hAnsi="方正黑体_GBK" w:eastAsia="方正黑体_GBK" w:cs="方正黑体_GBK"/>
          <w:lang w:val="en-US" w:eastAsia="zh-CN"/>
        </w:rPr>
        <w:t>五</w:t>
      </w:r>
      <w:r>
        <w:rPr>
          <w:rFonts w:hint="eastAsia" w:ascii="方正黑体_GBK" w:hAnsi="方正黑体_GBK" w:eastAsia="方正黑体_GBK" w:cs="方正黑体_GBK"/>
        </w:rPr>
        <w:t>章 附则</w:t>
      </w:r>
    </w:p>
    <w:p w14:paraId="4D28B0F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lang w:val="en-US" w:eastAsia="zh-CN"/>
        </w:rPr>
        <w:t>第三十七条</w:t>
      </w:r>
      <w:r>
        <w:rPr>
          <w:rFonts w:hint="eastAsia"/>
        </w:rPr>
        <w:t xml:space="preserve"> 行政许可实施情况评价的内容应当包括：</w:t>
      </w:r>
    </w:p>
    <w:p w14:paraId="02B711FD">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（一）行政许可实施整体情况。</w:t>
      </w:r>
    </w:p>
    <w:p w14:paraId="7A003F90">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（二）行政许可的实施是否达到预期的管理目标。</w:t>
      </w:r>
    </w:p>
    <w:p w14:paraId="40FE4A7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（三）行政许可在实施过程中的问题。</w:t>
      </w:r>
    </w:p>
    <w:p w14:paraId="1FDDCFF3">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（四）行政许可继续实施的必要性。</w:t>
      </w:r>
    </w:p>
    <w:p w14:paraId="0DD67F6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（五）其他需要评价的内容。</w:t>
      </w:r>
    </w:p>
    <w:p w14:paraId="1A910BD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rPr>
        <w:t>行政许可“好差评”工作原则上按照省数据局的有关要求开展。</w:t>
      </w:r>
    </w:p>
    <w:p w14:paraId="02EF66D5">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eastAsia="方正仿宋_GBK"/>
          <w:lang w:eastAsia="zh-CN"/>
        </w:rPr>
      </w:pPr>
      <w:r>
        <w:rPr>
          <w:rFonts w:hint="eastAsia"/>
        </w:rPr>
        <w:t>领导小组办公室根据上述工作反馈的结果，有针对性地提出改革和监督建议。承办单位和基层受委托机关要根据建议，统一自由裁量尺度、优化工作流程、完善工作举措</w:t>
      </w:r>
      <w:r>
        <w:rPr>
          <w:rFonts w:hint="eastAsia"/>
          <w:lang w:eastAsia="zh-CN"/>
        </w:rPr>
        <w:t>。</w:t>
      </w:r>
    </w:p>
    <w:p w14:paraId="4D3C3B7D">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ascii="方正黑体_GBK" w:hAnsi="方正黑体_GBK" w:eastAsia="方正黑体_GBK" w:cs="方正黑体_GBK"/>
          <w:lang w:val="en-US" w:eastAsia="zh-CN"/>
        </w:rPr>
        <w:t>第三十八条</w:t>
      </w:r>
      <w:r>
        <w:rPr>
          <w:rFonts w:hint="eastAsia"/>
        </w:rPr>
        <w:t xml:space="preserve">  本办法规定的期限以工作日计算，不含法定节假日。</w:t>
      </w:r>
    </w:p>
    <w:p w14:paraId="49788067">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lang w:val="en-US" w:eastAsia="zh-CN"/>
        </w:rPr>
      </w:pPr>
      <w:r>
        <w:rPr>
          <w:rFonts w:hint="eastAsia" w:ascii="方正黑体_GBK" w:hAnsi="方正黑体_GBK" w:eastAsia="方正黑体_GBK" w:cs="方正黑体_GBK"/>
          <w:lang w:val="en-US" w:eastAsia="zh-CN"/>
        </w:rPr>
        <w:t>第三十九条</w:t>
      </w:r>
      <w:r>
        <w:rPr>
          <w:rFonts w:hint="eastAsia"/>
          <w:lang w:val="en-US" w:eastAsia="zh-CN"/>
        </w:rPr>
        <w:t xml:space="preserve"> </w:t>
      </w:r>
      <w:r>
        <w:rPr>
          <w:rFonts w:hint="default"/>
          <w:lang w:val="en-US" w:eastAsia="zh-CN"/>
        </w:rPr>
        <w:t> 工作人员在实施行政许可和监督检查中存在违法行为的，应当依法承担法律责任。</w:t>
      </w:r>
    </w:p>
    <w:p w14:paraId="283E9398">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rPr>
      </w:pPr>
      <w:r>
        <w:rPr>
          <w:rFonts w:hint="eastAsia" w:ascii="方正黑体_GBK" w:hAnsi="方正黑体_GBK" w:eastAsia="方正黑体_GBK" w:cs="方正黑体_GBK"/>
          <w:lang w:val="en-US" w:eastAsia="zh-CN"/>
        </w:rPr>
        <w:t>第四十条</w:t>
      </w:r>
      <w:r>
        <w:rPr>
          <w:rFonts w:hint="eastAsia"/>
        </w:rPr>
        <w:t xml:space="preserve">  本办法有关行政许可工作方面的未尽事宜</w:t>
      </w:r>
      <w:r>
        <w:rPr>
          <w:rFonts w:hint="eastAsia"/>
          <w:lang w:val="en-US" w:eastAsia="zh-CN"/>
        </w:rPr>
        <w:t>依</w:t>
      </w:r>
      <w:r>
        <w:rPr>
          <w:rFonts w:hint="eastAsia"/>
        </w:rPr>
        <w:t>照《中华人民共和国行政许可法》等有关法律法规执行。</w:t>
      </w:r>
    </w:p>
    <w:p w14:paraId="4922785B">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lang w:val="en-US" w:eastAsia="zh-CN"/>
        </w:rPr>
      </w:pPr>
      <w:r>
        <w:rPr>
          <w:rFonts w:hint="eastAsia"/>
        </w:rPr>
        <w:t>省林业有害生物检疫防治站、省太湖风景名胜区管理委员会办公室等法律法规授权的具有管理公共事务职能的组织，在法定授权范围内，以自己的名义</w:t>
      </w:r>
      <w:r>
        <w:rPr>
          <w:rFonts w:hint="eastAsia"/>
          <w:lang w:val="en-US" w:eastAsia="zh-CN"/>
        </w:rPr>
        <w:t>或者依法委托其他组织开展行政许可工作</w:t>
      </w:r>
      <w:r>
        <w:rPr>
          <w:rFonts w:hint="eastAsia"/>
        </w:rPr>
        <w:t>，</w:t>
      </w:r>
      <w:r>
        <w:rPr>
          <w:rFonts w:hint="eastAsia"/>
          <w:lang w:val="en-US" w:eastAsia="zh-CN"/>
        </w:rPr>
        <w:t xml:space="preserve">已有规定的，依照其规定；未有明确规定的，可以参照本办法。 </w:t>
      </w:r>
    </w:p>
    <w:p w14:paraId="6F3E756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pPr>
      <w:r>
        <w:rPr>
          <w:rFonts w:hint="eastAsia" w:ascii="方正黑体_GBK" w:hAnsi="方正黑体_GBK" w:eastAsia="方正黑体_GBK" w:cs="方正黑体_GBK"/>
          <w:lang w:val="en-US" w:eastAsia="zh-CN"/>
        </w:rPr>
        <w:t>第四十一条</w:t>
      </w:r>
      <w:r>
        <w:rPr>
          <w:rFonts w:hint="eastAsia"/>
        </w:rPr>
        <w:t xml:space="preserve">  </w:t>
      </w:r>
      <w:r>
        <w:t>本办法由</w:t>
      </w:r>
      <w:r>
        <w:rPr>
          <w:rFonts w:hint="eastAsia"/>
          <w:lang w:val="en-US" w:eastAsia="zh-CN"/>
        </w:rPr>
        <w:t>省林业局</w:t>
      </w:r>
      <w:r>
        <w:t>负责解释。</w:t>
      </w:r>
    </w:p>
    <w:p w14:paraId="196B73A6">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eastAsia="方正仿宋_GBK"/>
          <w:u w:val="single"/>
          <w:lang w:val="en-US" w:eastAsia="zh-CN"/>
        </w:rPr>
      </w:pPr>
      <w:r>
        <w:rPr>
          <w:rFonts w:hint="eastAsia" w:ascii="方正黑体_GBK" w:hAnsi="方正黑体_GBK" w:eastAsia="方正黑体_GBK" w:cs="方正黑体_GBK"/>
          <w:lang w:val="en-US" w:eastAsia="zh-CN"/>
        </w:rPr>
        <w:t>第四十二条</w:t>
      </w:r>
      <w:r>
        <w:rPr>
          <w:rFonts w:hint="eastAsia"/>
        </w:rPr>
        <w:t xml:space="preserve">  </w:t>
      </w:r>
      <w:r>
        <w:t>本办法自202</w:t>
      </w:r>
      <w:r>
        <w:rPr>
          <w:rFonts w:hint="eastAsia"/>
          <w:lang w:val="en-US" w:eastAsia="zh-CN"/>
        </w:rPr>
        <w:t>7</w:t>
      </w:r>
      <w:r>
        <w:t>年</w:t>
      </w:r>
      <w:r>
        <w:rPr>
          <w:rFonts w:hint="eastAsia"/>
          <w:lang w:val="en-US" w:eastAsia="zh-CN"/>
        </w:rPr>
        <w:t xml:space="preserve"> </w:t>
      </w:r>
      <w:r>
        <w:t>月</w:t>
      </w:r>
      <w:r>
        <w:rPr>
          <w:rFonts w:hint="eastAsia"/>
          <w:lang w:val="en-US" w:eastAsia="zh-CN"/>
        </w:rPr>
        <w:t xml:space="preserve"> </w:t>
      </w:r>
      <w:r>
        <w:t>日起施行，有效期至20</w:t>
      </w:r>
      <w:r>
        <w:rPr>
          <w:rFonts w:hint="eastAsia"/>
          <w:lang w:val="en-US" w:eastAsia="zh-CN"/>
        </w:rPr>
        <w:t>32</w:t>
      </w:r>
      <w:r>
        <w:t>年</w:t>
      </w:r>
      <w:r>
        <w:rPr>
          <w:rFonts w:hint="eastAsia"/>
          <w:lang w:val="en-US" w:eastAsia="zh-CN"/>
        </w:rPr>
        <w:t xml:space="preserve"> </w:t>
      </w:r>
      <w:r>
        <w:t>月</w:t>
      </w:r>
      <w:r>
        <w:rPr>
          <w:rFonts w:hint="eastAsia"/>
          <w:lang w:val="en-US" w:eastAsia="zh-CN"/>
        </w:rPr>
        <w:t xml:space="preserve"> </w:t>
      </w:r>
      <w:r>
        <w:t>日。</w:t>
      </w:r>
      <w:r>
        <w:rPr>
          <w:rFonts w:hint="eastAsia"/>
          <w:lang w:eastAsia="zh-CN"/>
        </w:rPr>
        <w:t>《</w:t>
      </w:r>
      <w:r>
        <w:rPr>
          <w:lang w:val="en-US" w:eastAsia="zh-CN"/>
        </w:rPr>
        <w:t>江苏省林业局行政许可委托实施管理办法</w:t>
      </w:r>
      <w:r>
        <w:rPr>
          <w:rFonts w:hint="eastAsia"/>
          <w:lang w:val="en-US" w:eastAsia="zh-CN"/>
        </w:rPr>
        <w:t>》</w:t>
      </w:r>
      <w:r>
        <w:rPr>
          <w:rFonts w:hint="eastAsia" w:ascii="方正仿宋_GB2312" w:hAnsi="方正仿宋_GB2312" w:eastAsia="方正仿宋_GB2312" w:cs="方正仿宋_GB2312"/>
          <w:lang w:val="en-US" w:eastAsia="zh-CN"/>
        </w:rPr>
        <w:t>（苏林规〔</w:t>
      </w:r>
      <w:r>
        <w:rPr>
          <w:rFonts w:hint="default" w:ascii="Times New Roman" w:hAnsi="Times New Roman" w:eastAsia="方正仿宋_GB2312" w:cs="Times New Roman"/>
          <w:lang w:val="en-US" w:eastAsia="zh-CN"/>
        </w:rPr>
        <w:t>2022</w:t>
      </w:r>
      <w:r>
        <w:rPr>
          <w:rFonts w:hint="eastAsia" w:ascii="方正仿宋_GB2312" w:hAnsi="方正仿宋_GB2312" w:eastAsia="方正仿宋_GB2312" w:cs="方正仿宋_GB2312"/>
          <w:lang w:val="en-US" w:eastAsia="zh-CN"/>
        </w:rPr>
        <w:t>〕</w:t>
      </w:r>
      <w:r>
        <w:rPr>
          <w:rFonts w:hint="default" w:ascii="Times New Roman" w:hAnsi="Times New Roman" w:eastAsia="方正仿宋_GB2312" w:cs="Times New Roman"/>
          <w:lang w:val="en-US" w:eastAsia="zh-CN"/>
        </w:rPr>
        <w:t>1</w:t>
      </w:r>
      <w:r>
        <w:rPr>
          <w:rFonts w:hint="eastAsia" w:ascii="方正仿宋_GB2312" w:hAnsi="方正仿宋_GB2312" w:eastAsia="方正仿宋_GB2312" w:cs="方正仿宋_GB2312"/>
          <w:lang w:val="en-US" w:eastAsia="zh-CN"/>
        </w:rPr>
        <w:t>号）</w:t>
      </w:r>
      <w:r>
        <w:rPr>
          <w:rFonts w:hint="eastAsia"/>
          <w:lang w:val="en-US" w:eastAsia="zh-CN"/>
        </w:rPr>
        <w:t>同时废止。</w:t>
      </w: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4C1062-4580-4FA9-854E-24CAD88C70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2" w:fontKey="{D4788059-A2D5-4CB6-8F2D-9AE225F914B3}"/>
  </w:font>
  <w:font w:name="方正小标宋_GBK">
    <w:panose1 w:val="03000509000000000000"/>
    <w:charset w:val="86"/>
    <w:family w:val="script"/>
    <w:pitch w:val="default"/>
    <w:sig w:usb0="00000001" w:usb1="080E0000" w:usb2="00000000" w:usb3="00000000" w:csb0="00040000" w:csb1="00000000"/>
    <w:embedRegular r:id="rId3" w:fontKey="{803896DF-C717-477B-8F91-08327BCA0687}"/>
  </w:font>
  <w:font w:name="方正黑体_GBK">
    <w:panose1 w:val="03000509000000000000"/>
    <w:charset w:val="86"/>
    <w:family w:val="script"/>
    <w:pitch w:val="default"/>
    <w:sig w:usb0="00000001" w:usb1="080E0000" w:usb2="00000000" w:usb3="00000000" w:csb0="00040000" w:csb1="00000000"/>
    <w:embedRegular r:id="rId4" w:fontKey="{4A224A0C-B36F-41F9-92E8-D0D6DF69B2D1}"/>
  </w:font>
  <w:font w:name="方正楷体_GBK">
    <w:panose1 w:val="03000509000000000000"/>
    <w:charset w:val="86"/>
    <w:family w:val="auto"/>
    <w:pitch w:val="default"/>
    <w:sig w:usb0="00000001" w:usb1="080E0000" w:usb2="00000000" w:usb3="00000000" w:csb0="00040000" w:csb1="00000000"/>
    <w:embedRegular r:id="rId5" w:fontKey="{6B3F4758-8B8F-4BC5-A1B0-BCA3BAF2F9F6}"/>
  </w:font>
  <w:font w:name="方正仿宋_GB2312">
    <w:panose1 w:val="02000000000000000000"/>
    <w:charset w:val="86"/>
    <w:family w:val="auto"/>
    <w:pitch w:val="default"/>
    <w:sig w:usb0="A00002BF" w:usb1="184F6CFA" w:usb2="00000012" w:usb3="00000000" w:csb0="00040001" w:csb1="00000000"/>
    <w:embedRegular r:id="rId6" w:fontKey="{595E1D26-5BBE-40B7-A16F-CF63B51C92FF}"/>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957D24"/>
    <w:rsid w:val="00A4631D"/>
    <w:rsid w:val="0144738E"/>
    <w:rsid w:val="017219EC"/>
    <w:rsid w:val="024C4754"/>
    <w:rsid w:val="02E3314E"/>
    <w:rsid w:val="039B24CA"/>
    <w:rsid w:val="048F4D50"/>
    <w:rsid w:val="05850FA6"/>
    <w:rsid w:val="059636C7"/>
    <w:rsid w:val="08A571AB"/>
    <w:rsid w:val="094C4BF4"/>
    <w:rsid w:val="0A896457"/>
    <w:rsid w:val="0A8A6569"/>
    <w:rsid w:val="0AC82B8C"/>
    <w:rsid w:val="0ADD625D"/>
    <w:rsid w:val="0BDA6B93"/>
    <w:rsid w:val="0D3B1FC4"/>
    <w:rsid w:val="0D581F25"/>
    <w:rsid w:val="0F1C2986"/>
    <w:rsid w:val="10957D24"/>
    <w:rsid w:val="10E36678"/>
    <w:rsid w:val="126829E0"/>
    <w:rsid w:val="12802419"/>
    <w:rsid w:val="131D4EDD"/>
    <w:rsid w:val="134F427F"/>
    <w:rsid w:val="13B9148C"/>
    <w:rsid w:val="16C005E1"/>
    <w:rsid w:val="1734278F"/>
    <w:rsid w:val="173F74B1"/>
    <w:rsid w:val="17855E84"/>
    <w:rsid w:val="187F4254"/>
    <w:rsid w:val="1A0379CD"/>
    <w:rsid w:val="1A6755BD"/>
    <w:rsid w:val="1AEC61E3"/>
    <w:rsid w:val="1C027029"/>
    <w:rsid w:val="1C6B582E"/>
    <w:rsid w:val="1CB739D9"/>
    <w:rsid w:val="1CEF6016"/>
    <w:rsid w:val="1F946462"/>
    <w:rsid w:val="20997C1D"/>
    <w:rsid w:val="223404C4"/>
    <w:rsid w:val="22353024"/>
    <w:rsid w:val="22C72CCE"/>
    <w:rsid w:val="27A73EFC"/>
    <w:rsid w:val="27C117C0"/>
    <w:rsid w:val="2AC90530"/>
    <w:rsid w:val="2BF80497"/>
    <w:rsid w:val="2C54433C"/>
    <w:rsid w:val="2C6D5648"/>
    <w:rsid w:val="2D2650DC"/>
    <w:rsid w:val="2D71509A"/>
    <w:rsid w:val="2E4D26B8"/>
    <w:rsid w:val="2F706743"/>
    <w:rsid w:val="308E1571"/>
    <w:rsid w:val="30C85BCC"/>
    <w:rsid w:val="33272EB3"/>
    <w:rsid w:val="33920FC8"/>
    <w:rsid w:val="339C5182"/>
    <w:rsid w:val="34A20267"/>
    <w:rsid w:val="34E3394C"/>
    <w:rsid w:val="3509109B"/>
    <w:rsid w:val="354B1430"/>
    <w:rsid w:val="374A3488"/>
    <w:rsid w:val="37F80C39"/>
    <w:rsid w:val="38CD0F8C"/>
    <w:rsid w:val="3A663AD8"/>
    <w:rsid w:val="3AE5578E"/>
    <w:rsid w:val="3B842D63"/>
    <w:rsid w:val="3B8F2FA7"/>
    <w:rsid w:val="3D0B7886"/>
    <w:rsid w:val="4107235E"/>
    <w:rsid w:val="412244BA"/>
    <w:rsid w:val="42984E79"/>
    <w:rsid w:val="42FD3BF5"/>
    <w:rsid w:val="435C7637"/>
    <w:rsid w:val="45F35DA4"/>
    <w:rsid w:val="4666351F"/>
    <w:rsid w:val="480D15C6"/>
    <w:rsid w:val="48C65AE8"/>
    <w:rsid w:val="4D3109CD"/>
    <w:rsid w:val="4EA0220D"/>
    <w:rsid w:val="4F646196"/>
    <w:rsid w:val="4FFE14C1"/>
    <w:rsid w:val="50434E3C"/>
    <w:rsid w:val="50937D24"/>
    <w:rsid w:val="52673657"/>
    <w:rsid w:val="533F0CDF"/>
    <w:rsid w:val="535824EA"/>
    <w:rsid w:val="53B21B6D"/>
    <w:rsid w:val="54F32097"/>
    <w:rsid w:val="557C794A"/>
    <w:rsid w:val="557F3D09"/>
    <w:rsid w:val="562201D9"/>
    <w:rsid w:val="56470D38"/>
    <w:rsid w:val="567F07CC"/>
    <w:rsid w:val="59323A3C"/>
    <w:rsid w:val="5A1B5462"/>
    <w:rsid w:val="5B8F2A37"/>
    <w:rsid w:val="5D964B48"/>
    <w:rsid w:val="5F1E4026"/>
    <w:rsid w:val="5F45021E"/>
    <w:rsid w:val="6032134D"/>
    <w:rsid w:val="60AB7212"/>
    <w:rsid w:val="61585A6E"/>
    <w:rsid w:val="616F587A"/>
    <w:rsid w:val="655C51D6"/>
    <w:rsid w:val="65AB2698"/>
    <w:rsid w:val="66026AF0"/>
    <w:rsid w:val="66A5162B"/>
    <w:rsid w:val="6730089D"/>
    <w:rsid w:val="67BA63AB"/>
    <w:rsid w:val="68BB7A83"/>
    <w:rsid w:val="69966649"/>
    <w:rsid w:val="6A6A1712"/>
    <w:rsid w:val="6B9962F9"/>
    <w:rsid w:val="6C3F1D6B"/>
    <w:rsid w:val="6C513B0D"/>
    <w:rsid w:val="6D274FAE"/>
    <w:rsid w:val="6DAA410D"/>
    <w:rsid w:val="6EDB3AE4"/>
    <w:rsid w:val="6F9939E3"/>
    <w:rsid w:val="6FB36895"/>
    <w:rsid w:val="711D1646"/>
    <w:rsid w:val="713C2036"/>
    <w:rsid w:val="724F2AC9"/>
    <w:rsid w:val="72B95A6B"/>
    <w:rsid w:val="72D004D4"/>
    <w:rsid w:val="7371229A"/>
    <w:rsid w:val="738A3C5D"/>
    <w:rsid w:val="74781B51"/>
    <w:rsid w:val="748A736D"/>
    <w:rsid w:val="748F1D9E"/>
    <w:rsid w:val="75683AAA"/>
    <w:rsid w:val="77A601C5"/>
    <w:rsid w:val="77C1693E"/>
    <w:rsid w:val="7938249F"/>
    <w:rsid w:val="7AB2152D"/>
    <w:rsid w:val="7ABE4C08"/>
    <w:rsid w:val="7B956568"/>
    <w:rsid w:val="7BCD6A1F"/>
    <w:rsid w:val="7C2F2A25"/>
    <w:rsid w:val="7C643581"/>
    <w:rsid w:val="7EFF756B"/>
    <w:rsid w:val="7F146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0"/>
      <w:jc w:val="both"/>
    </w:pPr>
    <w:rPr>
      <w:rFonts w:ascii="Times New Roman" w:hAnsi="Times New Roman" w:eastAsia="方正仿宋_GBK" w:cs="Times New Roman"/>
      <w:snapToGrid w:val="0"/>
      <w:sz w:val="32"/>
      <w:szCs w:val="20"/>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Document Map"/>
    <w:basedOn w:val="1"/>
    <w:qFormat/>
    <w:uiPriority w:val="0"/>
    <w:pPr>
      <w:widowControl w:val="0"/>
      <w:autoSpaceDE w:val="0"/>
      <w:autoSpaceDN w:val="0"/>
      <w:snapToGrid w:val="0"/>
      <w:spacing w:line="590" w:lineRule="atLeast"/>
      <w:jc w:val="both"/>
    </w:pPr>
    <w:rPr>
      <w:rFonts w:ascii="宋体" w:eastAsia="宋体" w:cs="Times New Roman"/>
      <w:snapToGrid w:val="0"/>
      <w:sz w:val="18"/>
      <w:szCs w:val="18"/>
      <w:lang w:val="en-US" w:eastAsia="zh-CN" w:bidi="ar-SA"/>
    </w:rPr>
  </w:style>
  <w:style w:type="paragraph" w:styleId="3">
    <w:name w:val="annotation text"/>
    <w:basedOn w:val="1"/>
    <w:qFormat/>
    <w:uiPriority w:val="0"/>
    <w:pPr>
      <w:jc w:val="left"/>
    </w:pPr>
  </w:style>
  <w:style w:type="paragraph" w:styleId="4">
    <w:name w:val="Body Text"/>
    <w:basedOn w:val="1"/>
    <w:next w:val="2"/>
    <w:qFormat/>
    <w:uiPriority w:val="0"/>
    <w:pPr>
      <w:widowControl w:val="0"/>
      <w:kinsoku w:val="0"/>
      <w:autoSpaceDE w:val="0"/>
      <w:autoSpaceDN w:val="0"/>
      <w:adjustRightInd w:val="0"/>
      <w:snapToGrid w:val="0"/>
      <w:spacing w:line="240" w:lineRule="auto"/>
      <w:jc w:val="left"/>
      <w:textAlignment w:val="baseline"/>
    </w:pPr>
    <w:rPr>
      <w:rFonts w:ascii="Arial" w:hAnsi="Arial" w:eastAsia="Arial" w:cs="Arial"/>
      <w:snapToGrid w:val="0"/>
      <w:color w:val="000000"/>
      <w:sz w:val="21"/>
      <w:szCs w:val="21"/>
      <w:lang w:val="en-US" w:eastAsia="zh-CN" w:bidi="ar-SA"/>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dc5ffe04-a0e8-44bf-8569-761d780fac24</errorID>
      <errorWord>《江苏省林业局行政许可工作管理办法》（征求意见稿）</errorWord>
      <group>L1_Knowledge</group>
      <groupName>知识性问题</groupName>
      <ability>L2_Knowledge</ability>
      <abilityName>其他知识</abilityName>
      <candidateList>
        <item>《江苏省林业局行政许可工作管理办法（征求意见稿）》</item>
      </candidateList>
      <explain>疑似政策文件、法律法规名称等书写不规范，请注意检查。</explain>
      <paraID>3E362218</paraID>
      <start>81</start>
      <end>106</end>
      <status>ignored</status>
      <modifiedWord/>
      <trackRevisions>false</trackRevisions>
    </reviewItem>
    <reviewItem>
      <errorID>d39d2a8a-d0a6-491a-a140-7129868140f8</errorID>
      <errorWord>工作实际，制定本</errorWord>
      <group>L1_Word</group>
      <groupName>字词问题</groupName>
      <ability>L2_Typo</ability>
      <abilityName>字词错误</abilityName>
      <candidateList>
        <item>工作实际，制定</item>
      </candidateList>
      <explain/>
      <paraID>205493B0</paraID>
      <start>66</start>
      <end>74</end>
      <status>ignored</status>
      <modifiedWord/>
      <trackRevisions>false</trackRevisions>
    </reviewItem>
    <reviewItem>
      <errorID>cd4d9e06-4191-44be-af13-87565da20277</errorID>
      <errorWord>、</errorWord>
      <group>L1_Word</group>
      <groupName>字词问题</groupName>
      <ability>L2_Typo</ability>
      <abilityName>字词错误</abilityName>
      <candidateList>
        <item>、各</item>
      </candidateList>
      <explain/>
      <paraID>2A3146A3</paraID>
      <start>25</start>
      <end>27</end>
      <status>modified</status>
      <modifiedWord>、各</modifiedWord>
      <trackRevisions>false</trackRevisions>
    </reviewItem>
    <reviewItem>
      <errorID>41b969d0-76a4-4217-bfa0-ec0aef0bad10</errorID>
      <errorWord>法律、法规</errorWord>
      <group>L1_Word</group>
      <groupName>字词问题</groupName>
      <ability>L2_Typo</ability>
      <abilityName>字词错误</abilityName>
      <candidateList>
        <item>法律法规</item>
      </candidateList>
      <explain/>
      <paraID>6F5A8F61</paraID>
      <start>114</start>
      <end>118</end>
      <status>modified</status>
      <modifiedWord>法律法规</modifiedWord>
      <trackRevisions>false</trackRevisions>
    </reviewItem>
    <reviewItem>
      <errorID>cbde78ac-da82-4dd8-8d3f-d1b2bf8c711c</errorID>
      <errorWord>法律、法规</errorWord>
      <group>L1_Word</group>
      <groupName>字词问题</groupName>
      <ability>L2_Typo</ability>
      <abilityName>字词错误</abilityName>
      <candidateList>
        <item>法律法规</item>
      </candidateList>
      <explain/>
      <paraID>7A321586</paraID>
      <start>47</start>
      <end>51</end>
      <status>modified</status>
      <modifiedWord>法律法规</modifiedWord>
      <trackRevisions>false</trackRevisions>
    </reviewItem>
    <reviewItem>
      <errorID>8cfbbf81-5c68-459e-aad7-5b0c2a12b0ec</errorID>
      <errorWord>法律、法规</errorWord>
      <group>L1_Word</group>
      <groupName>字词问题</groupName>
      <ability>L2_Typo</ability>
      <abilityName>字词错误</abilityName>
      <candidateList>
        <item>法律法规</item>
      </candidateList>
      <explain/>
      <paraID> 7A8FDCC</paraID>
      <start>18</start>
      <end>22</end>
      <status>modified</status>
      <modifiedWord>法律法规</modifiedWord>
      <trackRevisions>false</trackRevisions>
    </reviewItem>
  </reviewItems>
  <config/>
</contractReview>
</file>

<file path=customXml/itemProps1.xml><?xml version="1.0" encoding="utf-8"?>
<ds:datastoreItem xmlns:ds="http://schemas.openxmlformats.org/officeDocument/2006/customXml" ds:itemID="{7cd70ba9-4f8c-4650-94ac-92d482bd9050}">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731</Words>
  <Characters>731</Characters>
  <Lines>0</Lines>
  <Paragraphs>0</Paragraphs>
  <TotalTime>9</TotalTime>
  <ScaleCrop>false</ScaleCrop>
  <LinksUpToDate>false</LinksUpToDate>
  <CharactersWithSpaces>744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2026-03-02T08:25:00Z</dcterms:created>
  <dc:creator>wat</dc:creator>
  <cp:lastModifiedBy>张唯</cp:lastModifiedBy>
  <cp:lastPrinted>2026-07-14T07:19:00Z</cp:lastPrinted>
  <dcterms:modified xsi:type="dcterms:W3CDTF">2026-09-18T06:41:55Z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F997E1295A594C3AB1B24A57DE9D5325_13</vt:lpwstr>
  </property>
  <property fmtid="{D5CDD505-2E9C-101B-9397-08002B2CF9AE}" pid="4" name="KSOTemplateDocerSaveRecord">
    <vt:lpwstr>eyJoZGlkIjoiMDRiMWU3M2M2MTQ0YTg5ZTg5NjIyYzU1ODZlZTA3NjUiLCJ1c2VySWQiOiI1OTAxODI5MDMifQ==</vt:lpwstr>
  </property>
</Properties>
</file>